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0C188" w14:textId="0D03BB72" w:rsidR="00A30DAF" w:rsidRPr="003A76F3" w:rsidRDefault="00F23E68" w:rsidP="00C32357">
      <w:pPr>
        <w:pStyle w:val="Heading4"/>
        <w:rPr>
          <w:rFonts w:ascii="Arial" w:hAnsi="Arial" w:cs="Arial"/>
          <w:iCs w:val="0"/>
          <w:color w:val="auto"/>
          <w:sz w:val="48"/>
          <w:szCs w:val="48"/>
        </w:rPr>
      </w:pPr>
      <w:r w:rsidRPr="00F23E68">
        <w:rPr>
          <w:rFonts w:ascii="Arial" w:hAnsi="Arial" w:cs="Arial"/>
          <w:iCs w:val="0"/>
          <w:color w:val="auto"/>
          <w:sz w:val="48"/>
          <w:szCs w:val="48"/>
        </w:rPr>
        <w:t>AMPOPR3X01</w:t>
      </w:r>
      <w:r w:rsidR="00A30DAF" w:rsidRPr="00813A92">
        <w:rPr>
          <w:rFonts w:ascii="Arial" w:hAnsi="Arial" w:cs="Arial"/>
          <w:iCs w:val="0"/>
          <w:color w:val="auto"/>
          <w:sz w:val="48"/>
          <w:szCs w:val="48"/>
        </w:rPr>
        <w:t xml:space="preserve"> P</w:t>
      </w:r>
      <w:r w:rsidR="00A30DAF" w:rsidRPr="003A76F3">
        <w:rPr>
          <w:rFonts w:ascii="Arial" w:hAnsi="Arial" w:cs="Arial"/>
          <w:iCs w:val="0"/>
          <w:color w:val="auto"/>
          <w:sz w:val="48"/>
          <w:szCs w:val="48"/>
        </w:rPr>
        <w:t xml:space="preserve">repare </w:t>
      </w:r>
      <w:r w:rsidR="007E0936">
        <w:rPr>
          <w:rFonts w:ascii="Arial" w:hAnsi="Arial" w:cs="Arial"/>
          <w:iCs w:val="0"/>
          <w:color w:val="auto"/>
          <w:sz w:val="48"/>
          <w:szCs w:val="48"/>
        </w:rPr>
        <w:t xml:space="preserve">and monitor </w:t>
      </w:r>
      <w:r w:rsidR="00A30DAF" w:rsidRPr="003A76F3">
        <w:rPr>
          <w:rFonts w:ascii="Arial" w:hAnsi="Arial" w:cs="Arial"/>
          <w:iCs w:val="0"/>
          <w:color w:val="auto"/>
          <w:sz w:val="48"/>
          <w:szCs w:val="48"/>
        </w:rPr>
        <w:t>a kill sheet</w:t>
      </w:r>
    </w:p>
    <w:p w14:paraId="22BBCDB7" w14:textId="5031B8F0" w:rsidR="00D024B9" w:rsidRPr="003A76F3" w:rsidRDefault="008F54D2" w:rsidP="00C32357">
      <w:pPr>
        <w:pStyle w:val="Heading4"/>
        <w:rPr>
          <w:rFonts w:ascii="Arial" w:hAnsi="Arial" w:cs="Arial"/>
          <w:color w:val="000000" w:themeColor="text2"/>
        </w:rPr>
      </w:pPr>
      <w:r w:rsidRPr="003A76F3">
        <w:rPr>
          <w:rFonts w:ascii="Arial" w:hAnsi="Arial" w:cs="Arial"/>
          <w:color w:val="000000" w:themeColor="text2"/>
        </w:rPr>
        <w:t>Application</w:t>
      </w:r>
    </w:p>
    <w:p w14:paraId="1E238BFB" w14:textId="219ED82C" w:rsidR="00A30DAF" w:rsidRPr="003A76F3" w:rsidRDefault="00A30DAF" w:rsidP="003A76F3">
      <w:pPr>
        <w:pStyle w:val="BodyTextSI"/>
        <w:rPr>
          <w:rFonts w:ascii="Arial" w:hAnsi="Arial" w:cs="Arial"/>
          <w:color w:val="000000" w:themeColor="text2"/>
        </w:rPr>
      </w:pPr>
      <w:r w:rsidRPr="003A76F3">
        <w:rPr>
          <w:rFonts w:ascii="Arial" w:hAnsi="Arial" w:cs="Arial"/>
          <w:color w:val="000000" w:themeColor="text2"/>
        </w:rPr>
        <w:t xml:space="preserve">This unit describes the skills and knowledge required </w:t>
      </w:r>
      <w:r w:rsidR="003A76F3" w:rsidRPr="003A76F3">
        <w:rPr>
          <w:rFonts w:ascii="Arial" w:hAnsi="Arial" w:cs="Arial"/>
          <w:color w:val="000000" w:themeColor="text2"/>
        </w:rPr>
        <w:t xml:space="preserve">for workers </w:t>
      </w:r>
      <w:r w:rsidRPr="003A76F3">
        <w:rPr>
          <w:rFonts w:ascii="Arial" w:hAnsi="Arial" w:cs="Arial"/>
          <w:color w:val="000000" w:themeColor="text2"/>
        </w:rPr>
        <w:t>to prepare a kill sheet for a slaughter floor</w:t>
      </w:r>
      <w:r w:rsidR="003A76F3" w:rsidRPr="003A76F3">
        <w:rPr>
          <w:rFonts w:ascii="Arial" w:hAnsi="Arial" w:cs="Arial"/>
          <w:color w:val="000000" w:themeColor="text2"/>
        </w:rPr>
        <w:t xml:space="preserve"> </w:t>
      </w:r>
      <w:r w:rsidRPr="003A76F3">
        <w:rPr>
          <w:rFonts w:ascii="Arial" w:hAnsi="Arial" w:cs="Arial"/>
          <w:color w:val="000000" w:themeColor="text2"/>
        </w:rPr>
        <w:t>in a processing plant which sets the order for processing livestock for a shift.</w:t>
      </w:r>
    </w:p>
    <w:p w14:paraId="2293E6F3" w14:textId="77777777" w:rsidR="003A76F3" w:rsidRPr="003A76F3" w:rsidRDefault="003A76F3" w:rsidP="003A76F3">
      <w:pPr>
        <w:pStyle w:val="BodyTextSI"/>
        <w:rPr>
          <w:rFonts w:ascii="Arial" w:hAnsi="Arial" w:cs="Arial"/>
          <w:color w:val="000000" w:themeColor="text2"/>
        </w:rPr>
      </w:pPr>
      <w:r w:rsidRPr="003A76F3">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54BDD3DB" w14:textId="3C396C74" w:rsidR="00A30DAF" w:rsidRPr="003A76F3" w:rsidRDefault="003A76F3" w:rsidP="003A76F3">
      <w:pPr>
        <w:pStyle w:val="BodyTextSI"/>
        <w:rPr>
          <w:rFonts w:ascii="Arial" w:hAnsi="Arial" w:cs="Arial"/>
          <w:color w:val="000000" w:themeColor="text2"/>
        </w:rPr>
      </w:pPr>
      <w:r w:rsidRPr="003A76F3">
        <w:rPr>
          <w:rFonts w:ascii="Arial" w:hAnsi="Arial" w:cs="Arial"/>
          <w:color w:val="000000" w:themeColor="text2"/>
        </w:rPr>
        <w:t>Work is carried out in compliance</w:t>
      </w:r>
      <w:r w:rsidR="00A30DAF" w:rsidRPr="003A76F3">
        <w:rPr>
          <w:rFonts w:ascii="Arial" w:hAnsi="Arial" w:cs="Arial"/>
          <w:color w:val="000000" w:themeColor="text2"/>
        </w:rPr>
        <w:t xml:space="preserve"> with workplace procedures, customer requirements and product specifications.</w:t>
      </w:r>
    </w:p>
    <w:p w14:paraId="151ADD42" w14:textId="77777777" w:rsidR="00A30DAF" w:rsidRPr="003A76F3" w:rsidRDefault="00A30DAF" w:rsidP="003A76F3">
      <w:pPr>
        <w:pStyle w:val="BodyTextSI"/>
        <w:rPr>
          <w:rFonts w:ascii="Arial" w:hAnsi="Arial" w:cs="Arial"/>
          <w:color w:val="000000" w:themeColor="text2"/>
        </w:rPr>
      </w:pPr>
      <w:r w:rsidRPr="003A76F3">
        <w:rPr>
          <w:rFonts w:ascii="Arial" w:hAnsi="Arial" w:cs="Arial"/>
          <w:color w:val="000000" w:themeColor="text2"/>
        </w:rPr>
        <w:t>This unit must be delivered and assessed in the context of Australian meat processing standards and regulations.</w:t>
      </w:r>
    </w:p>
    <w:p w14:paraId="3743C5F1" w14:textId="741CA7E0" w:rsidR="00D024B9" w:rsidRPr="003A76F3" w:rsidRDefault="00D024B9" w:rsidP="008B7F29">
      <w:pPr>
        <w:pStyle w:val="Heading5"/>
        <w:rPr>
          <w:rFonts w:ascii="Arial" w:hAnsi="Arial" w:cs="Arial"/>
        </w:rPr>
      </w:pPr>
      <w:r w:rsidRPr="003A76F3">
        <w:rPr>
          <w:rFonts w:ascii="Arial" w:hAnsi="Arial" w:cs="Arial"/>
        </w:rPr>
        <w:t>Licensing, legislative, regulatory requirements</w:t>
      </w:r>
    </w:p>
    <w:p w14:paraId="340DE146" w14:textId="5210631C" w:rsidR="00D024B9" w:rsidRPr="003A76F3" w:rsidRDefault="001B4250" w:rsidP="00D024B9">
      <w:pPr>
        <w:pStyle w:val="BodyTextSI"/>
        <w:rPr>
          <w:rFonts w:ascii="Arial" w:hAnsi="Arial" w:cs="Arial"/>
          <w:color w:val="000000" w:themeColor="text2"/>
        </w:rPr>
      </w:pPr>
      <w:r w:rsidRPr="003A76F3">
        <w:rPr>
          <w:rFonts w:ascii="Arial" w:hAnsi="Arial" w:cs="Arial"/>
          <w:i/>
        </w:rPr>
        <w:t>No licensing, legislative or certification requirements apply to this unit at the time of publication.</w:t>
      </w:r>
    </w:p>
    <w:p w14:paraId="1C8F9B21" w14:textId="7E205A1E" w:rsidR="00B76B2F" w:rsidRPr="003A76F3" w:rsidRDefault="00B76B2F" w:rsidP="00B76B2F">
      <w:pPr>
        <w:pStyle w:val="Heading4"/>
        <w:rPr>
          <w:rFonts w:ascii="Arial" w:hAnsi="Arial" w:cs="Arial"/>
          <w:b w:val="0"/>
          <w:bCs w:val="0"/>
          <w:i/>
          <w:iCs w:val="0"/>
          <w:color w:val="000000" w:themeColor="text2"/>
        </w:rPr>
      </w:pPr>
      <w:r w:rsidRPr="003A76F3">
        <w:rPr>
          <w:rFonts w:ascii="Arial" w:hAnsi="Arial" w:cs="Arial"/>
          <w:color w:val="000000" w:themeColor="text2"/>
        </w:rPr>
        <w:t>Pre-requisite unit</w:t>
      </w:r>
    </w:p>
    <w:p w14:paraId="4C3F1116" w14:textId="7DCC2D8E" w:rsidR="00B76B2F" w:rsidRPr="003A76F3" w:rsidRDefault="003A76F3" w:rsidP="00B76B2F">
      <w:pPr>
        <w:pStyle w:val="BodyTextSI"/>
        <w:rPr>
          <w:rFonts w:ascii="Arial" w:hAnsi="Arial" w:cs="Arial"/>
          <w:color w:val="000000" w:themeColor="text2"/>
        </w:rPr>
      </w:pPr>
      <w:r w:rsidRPr="003A76F3">
        <w:rPr>
          <w:rFonts w:ascii="Arial" w:hAnsi="Arial" w:cs="Arial"/>
          <w:color w:val="000000" w:themeColor="text2"/>
        </w:rPr>
        <w:t>Nil</w:t>
      </w:r>
    </w:p>
    <w:p w14:paraId="14B940A8" w14:textId="1A0FF955" w:rsidR="002539F9" w:rsidRPr="003A76F3" w:rsidRDefault="002539F9" w:rsidP="002539F9">
      <w:pPr>
        <w:pStyle w:val="Heading4"/>
        <w:rPr>
          <w:rFonts w:ascii="Arial" w:hAnsi="Arial" w:cs="Arial"/>
          <w:b w:val="0"/>
          <w:bCs w:val="0"/>
          <w:i/>
          <w:iCs w:val="0"/>
          <w:color w:val="000000" w:themeColor="text2"/>
        </w:rPr>
      </w:pPr>
      <w:r w:rsidRPr="003A76F3">
        <w:rPr>
          <w:rFonts w:ascii="Arial" w:hAnsi="Arial" w:cs="Arial"/>
          <w:color w:val="000000" w:themeColor="text2"/>
        </w:rPr>
        <w:t>Unit sector</w:t>
      </w:r>
    </w:p>
    <w:p w14:paraId="7B244E65" w14:textId="5FF501F5" w:rsidR="00B76B2F" w:rsidRPr="003A76F3" w:rsidRDefault="00F23E68" w:rsidP="00D024B9">
      <w:pPr>
        <w:pStyle w:val="BodyTextSI"/>
        <w:rPr>
          <w:rFonts w:ascii="Arial" w:hAnsi="Arial" w:cs="Arial"/>
          <w:color w:val="000000" w:themeColor="text2"/>
        </w:rPr>
      </w:pPr>
      <w:r w:rsidRPr="00F23E68">
        <w:rPr>
          <w:rFonts w:ascii="Arial" w:hAnsi="Arial" w:cs="Arial"/>
          <w:color w:val="000000" w:themeColor="text2"/>
        </w:rPr>
        <w:t>Operational</w:t>
      </w:r>
      <w:r>
        <w:rPr>
          <w:rFonts w:ascii="Arial" w:hAnsi="Arial" w:cs="Arial"/>
          <w:color w:val="000000" w:themeColor="text2"/>
        </w:rPr>
        <w:t xml:space="preserve"> (OPR)</w:t>
      </w:r>
    </w:p>
    <w:tbl>
      <w:tblPr>
        <w:tblStyle w:val="TableGrid"/>
        <w:tblW w:w="0" w:type="auto"/>
        <w:tblInd w:w="27" w:type="dxa"/>
        <w:tblLook w:val="04A0" w:firstRow="1" w:lastRow="0" w:firstColumn="1" w:lastColumn="0" w:noHBand="0" w:noVBand="1"/>
      </w:tblPr>
      <w:tblGrid>
        <w:gridCol w:w="3512"/>
        <w:gridCol w:w="5954"/>
      </w:tblGrid>
      <w:tr w:rsidR="008A2237" w:rsidRPr="003A76F3" w14:paraId="63332B22" w14:textId="77777777" w:rsidTr="008A2237">
        <w:tc>
          <w:tcPr>
            <w:tcW w:w="3512" w:type="dxa"/>
          </w:tcPr>
          <w:p w14:paraId="19345E85" w14:textId="4AA2ED8D" w:rsidR="008A2237" w:rsidRPr="003A76F3" w:rsidRDefault="008A2237" w:rsidP="007E40E9">
            <w:pPr>
              <w:spacing w:after="120"/>
              <w:rPr>
                <w:rFonts w:ascii="Arial" w:hAnsi="Arial" w:cs="Arial"/>
                <w:color w:val="000000" w:themeColor="text2"/>
              </w:rPr>
            </w:pPr>
            <w:r w:rsidRPr="003A76F3">
              <w:rPr>
                <w:rFonts w:ascii="Arial" w:hAnsi="Arial" w:cs="Arial"/>
                <w:b/>
              </w:rPr>
              <w:t>Elements</w:t>
            </w:r>
            <w:r w:rsidR="007E40E9" w:rsidRPr="003A76F3">
              <w:rPr>
                <w:rFonts w:ascii="Arial" w:hAnsi="Arial" w:cs="Arial"/>
                <w:b/>
              </w:rPr>
              <w:br/>
            </w:r>
            <w:proofErr w:type="spellStart"/>
            <w:r w:rsidR="007E40E9" w:rsidRPr="003A76F3">
              <w:rPr>
                <w:rFonts w:ascii="Arial" w:hAnsi="Arial" w:cs="Arial"/>
                <w:i/>
              </w:rPr>
              <w:t>Elements</w:t>
            </w:r>
            <w:proofErr w:type="spellEnd"/>
            <w:r w:rsidR="007E40E9" w:rsidRPr="003A76F3">
              <w:rPr>
                <w:rFonts w:ascii="Arial" w:hAnsi="Arial" w:cs="Arial"/>
                <w:i/>
              </w:rPr>
              <w:t xml:space="preserve"> describe the essential outcomes.</w:t>
            </w:r>
          </w:p>
        </w:tc>
        <w:tc>
          <w:tcPr>
            <w:tcW w:w="5954" w:type="dxa"/>
          </w:tcPr>
          <w:p w14:paraId="53C86B1B" w14:textId="77777777" w:rsidR="008A2237" w:rsidRPr="003A76F3" w:rsidRDefault="008A2237" w:rsidP="008A2237">
            <w:pPr>
              <w:spacing w:after="120"/>
              <w:rPr>
                <w:rFonts w:ascii="Arial" w:hAnsi="Arial" w:cs="Arial"/>
              </w:rPr>
            </w:pPr>
            <w:r w:rsidRPr="003A76F3">
              <w:rPr>
                <w:rFonts w:ascii="Arial" w:hAnsi="Arial" w:cs="Arial"/>
                <w:b/>
              </w:rPr>
              <w:t>Performance criteria</w:t>
            </w:r>
          </w:p>
          <w:p w14:paraId="091AC639" w14:textId="47E472BF" w:rsidR="008A2237" w:rsidRPr="003A76F3" w:rsidRDefault="00656877" w:rsidP="008A2237">
            <w:pPr>
              <w:pStyle w:val="SIText"/>
              <w:rPr>
                <w:rFonts w:cs="Arial"/>
                <w:color w:val="000000" w:themeColor="text2"/>
                <w:sz w:val="22"/>
              </w:rPr>
            </w:pPr>
            <w:r w:rsidRPr="003A76F3">
              <w:rPr>
                <w:rFonts w:cs="Arial"/>
                <w:i/>
                <w:sz w:val="22"/>
              </w:rPr>
              <w:t>Performance criteria describe the performance needed to demonstrate achievement of the element.</w:t>
            </w:r>
          </w:p>
        </w:tc>
      </w:tr>
      <w:tr w:rsidR="004D17D5" w:rsidRPr="003A76F3" w14:paraId="622DCC10" w14:textId="77777777" w:rsidTr="00EF3881">
        <w:trPr>
          <w:trHeight w:val="3007"/>
        </w:trPr>
        <w:tc>
          <w:tcPr>
            <w:tcW w:w="3512" w:type="dxa"/>
          </w:tcPr>
          <w:p w14:paraId="526B1BE4" w14:textId="6FE48F15" w:rsidR="004D17D5" w:rsidRPr="003A76F3" w:rsidRDefault="004D17D5" w:rsidP="00A30DAF">
            <w:pPr>
              <w:pStyle w:val="SIText"/>
              <w:rPr>
                <w:rFonts w:cs="Arial"/>
                <w:color w:val="000000" w:themeColor="text2"/>
                <w:sz w:val="22"/>
              </w:rPr>
            </w:pPr>
            <w:r w:rsidRPr="003A76F3">
              <w:rPr>
                <w:rFonts w:cs="Arial"/>
                <w:color w:val="000000" w:themeColor="text2"/>
                <w:sz w:val="22"/>
              </w:rPr>
              <w:t>1. Review stock arrival documentation</w:t>
            </w:r>
            <w:r>
              <w:rPr>
                <w:rFonts w:cs="Arial"/>
                <w:color w:val="000000" w:themeColor="text2"/>
                <w:sz w:val="22"/>
              </w:rPr>
              <w:t xml:space="preserve"> and prepare kill sheet</w:t>
            </w:r>
          </w:p>
        </w:tc>
        <w:tc>
          <w:tcPr>
            <w:tcW w:w="5954" w:type="dxa"/>
          </w:tcPr>
          <w:p w14:paraId="0C1F903E" w14:textId="77777777" w:rsidR="004D17D5" w:rsidRPr="003A76F3" w:rsidRDefault="004D17D5" w:rsidP="00A30DAF">
            <w:pPr>
              <w:pStyle w:val="SIText"/>
              <w:rPr>
                <w:rFonts w:cs="Arial"/>
                <w:color w:val="000000" w:themeColor="text2"/>
                <w:sz w:val="22"/>
              </w:rPr>
            </w:pPr>
            <w:r w:rsidRPr="003A76F3">
              <w:rPr>
                <w:rFonts w:cs="Arial"/>
                <w:color w:val="000000" w:themeColor="text2"/>
                <w:sz w:val="22"/>
              </w:rPr>
              <w:t>1.1 Check all relevant paperwork has been received, e.g., National Vendor Declarations (NVDs) or Post-Sale Summaries (PSSs)</w:t>
            </w:r>
          </w:p>
          <w:p w14:paraId="31ED6275" w14:textId="65A690E9" w:rsidR="004D17D5" w:rsidRPr="003A76F3" w:rsidRDefault="004D17D5" w:rsidP="003A76F3">
            <w:pPr>
              <w:pStyle w:val="SIText"/>
              <w:rPr>
                <w:rFonts w:cs="Arial"/>
                <w:color w:val="000000" w:themeColor="text2"/>
                <w:sz w:val="22"/>
              </w:rPr>
            </w:pPr>
            <w:r>
              <w:rPr>
                <w:rFonts w:cs="Arial"/>
                <w:color w:val="000000" w:themeColor="text2"/>
                <w:sz w:val="22"/>
              </w:rPr>
              <w:t>1.2</w:t>
            </w:r>
            <w:r w:rsidRPr="003A76F3">
              <w:rPr>
                <w:rFonts w:cs="Arial"/>
                <w:color w:val="000000" w:themeColor="text2"/>
                <w:sz w:val="22"/>
              </w:rPr>
              <w:t xml:space="preserve"> Prepare kill sheet according to workplace requirements and livestock advice</w:t>
            </w:r>
          </w:p>
          <w:p w14:paraId="7AE6E45D" w14:textId="231FD487" w:rsidR="004D17D5" w:rsidRPr="003A76F3" w:rsidRDefault="004D17D5" w:rsidP="003A76F3">
            <w:pPr>
              <w:pStyle w:val="SIText"/>
              <w:rPr>
                <w:rFonts w:cs="Arial"/>
                <w:color w:val="000000" w:themeColor="text2"/>
                <w:sz w:val="22"/>
              </w:rPr>
            </w:pPr>
            <w:r>
              <w:rPr>
                <w:rFonts w:cs="Arial"/>
                <w:color w:val="000000" w:themeColor="text2"/>
                <w:sz w:val="22"/>
              </w:rPr>
              <w:t>1.3</w:t>
            </w:r>
            <w:r w:rsidRPr="003A76F3">
              <w:rPr>
                <w:rFonts w:cs="Arial"/>
                <w:color w:val="000000" w:themeColor="text2"/>
                <w:sz w:val="22"/>
              </w:rPr>
              <w:t xml:space="preserve"> Liaise with livestock staff to determine correct order for s</w:t>
            </w:r>
            <w:r>
              <w:rPr>
                <w:rFonts w:cs="Arial"/>
                <w:color w:val="000000" w:themeColor="text2"/>
                <w:sz w:val="22"/>
              </w:rPr>
              <w:t>to</w:t>
            </w:r>
            <w:r w:rsidRPr="003A76F3">
              <w:rPr>
                <w:rFonts w:cs="Arial"/>
                <w:color w:val="000000" w:themeColor="text2"/>
                <w:sz w:val="22"/>
              </w:rPr>
              <w:t>ck presentation to slaughter</w:t>
            </w:r>
          </w:p>
          <w:p w14:paraId="7219C880" w14:textId="57A88656" w:rsidR="004D17D5" w:rsidRPr="003A76F3" w:rsidRDefault="004D17D5" w:rsidP="003A76F3">
            <w:pPr>
              <w:pStyle w:val="SIText"/>
              <w:rPr>
                <w:rFonts w:cs="Arial"/>
                <w:color w:val="000000" w:themeColor="text2"/>
                <w:sz w:val="22"/>
              </w:rPr>
            </w:pPr>
            <w:r>
              <w:rPr>
                <w:rFonts w:cs="Arial"/>
                <w:color w:val="000000" w:themeColor="text2"/>
                <w:sz w:val="22"/>
              </w:rPr>
              <w:t>1.4</w:t>
            </w:r>
            <w:r w:rsidRPr="003A76F3">
              <w:rPr>
                <w:rFonts w:cs="Arial"/>
                <w:color w:val="000000" w:themeColor="text2"/>
                <w:sz w:val="22"/>
              </w:rPr>
              <w:t xml:space="preserve"> Ensure relevant staff receive kill sheet in a timely manner according to </w:t>
            </w:r>
            <w:proofErr w:type="gramStart"/>
            <w:r w:rsidRPr="003A76F3">
              <w:rPr>
                <w:rFonts w:cs="Arial"/>
                <w:color w:val="000000" w:themeColor="text2"/>
                <w:sz w:val="22"/>
              </w:rPr>
              <w:t>work place</w:t>
            </w:r>
            <w:proofErr w:type="gramEnd"/>
            <w:r w:rsidRPr="003A76F3">
              <w:rPr>
                <w:rFonts w:cs="Arial"/>
                <w:color w:val="000000" w:themeColor="text2"/>
                <w:sz w:val="22"/>
              </w:rPr>
              <w:t xml:space="preserve"> requirements</w:t>
            </w:r>
          </w:p>
        </w:tc>
      </w:tr>
      <w:tr w:rsidR="00A30DAF" w:rsidRPr="003A76F3" w14:paraId="4F4F6937" w14:textId="77777777" w:rsidTr="008A2237">
        <w:tc>
          <w:tcPr>
            <w:tcW w:w="3512" w:type="dxa"/>
          </w:tcPr>
          <w:p w14:paraId="56DCD5C0" w14:textId="3BFF57BB" w:rsidR="00A30DAF" w:rsidRPr="003A76F3" w:rsidRDefault="004D17D5" w:rsidP="00A30DAF">
            <w:pPr>
              <w:pStyle w:val="SIText"/>
              <w:rPr>
                <w:rFonts w:cs="Arial"/>
                <w:color w:val="000000" w:themeColor="text2"/>
                <w:sz w:val="22"/>
              </w:rPr>
            </w:pPr>
            <w:r>
              <w:rPr>
                <w:rFonts w:cs="Arial"/>
                <w:color w:val="000000" w:themeColor="text2"/>
                <w:sz w:val="22"/>
              </w:rPr>
              <w:t>2</w:t>
            </w:r>
            <w:r w:rsidR="00A30DAF" w:rsidRPr="003A76F3">
              <w:rPr>
                <w:rFonts w:cs="Arial"/>
                <w:color w:val="000000" w:themeColor="text2"/>
                <w:sz w:val="22"/>
              </w:rPr>
              <w:t xml:space="preserve">. </w:t>
            </w:r>
            <w:proofErr w:type="gramStart"/>
            <w:r w:rsidR="00A30DAF" w:rsidRPr="003A76F3">
              <w:rPr>
                <w:rFonts w:cs="Arial"/>
                <w:color w:val="000000" w:themeColor="text2"/>
                <w:sz w:val="22"/>
              </w:rPr>
              <w:t>Make adjustments to</w:t>
            </w:r>
            <w:proofErr w:type="gramEnd"/>
            <w:r w:rsidR="00A30DAF" w:rsidRPr="003A76F3">
              <w:rPr>
                <w:rFonts w:cs="Arial"/>
                <w:color w:val="000000" w:themeColor="text2"/>
                <w:sz w:val="22"/>
              </w:rPr>
              <w:t xml:space="preserve"> the kill sheet throughout the day</w:t>
            </w:r>
          </w:p>
        </w:tc>
        <w:tc>
          <w:tcPr>
            <w:tcW w:w="5954" w:type="dxa"/>
          </w:tcPr>
          <w:p w14:paraId="34AC6BA2" w14:textId="7E6BEE26" w:rsidR="00A30DAF" w:rsidRPr="003A76F3" w:rsidRDefault="004D17D5" w:rsidP="003A76F3">
            <w:pPr>
              <w:pStyle w:val="SIText"/>
              <w:rPr>
                <w:rFonts w:cs="Arial"/>
                <w:color w:val="000000" w:themeColor="text2"/>
                <w:sz w:val="22"/>
              </w:rPr>
            </w:pPr>
            <w:r>
              <w:rPr>
                <w:rFonts w:cs="Arial"/>
                <w:color w:val="000000" w:themeColor="text2"/>
                <w:sz w:val="22"/>
              </w:rPr>
              <w:t>2</w:t>
            </w:r>
            <w:r w:rsidR="00A30DAF" w:rsidRPr="003A76F3">
              <w:rPr>
                <w:rFonts w:cs="Arial"/>
                <w:color w:val="000000" w:themeColor="text2"/>
                <w:sz w:val="22"/>
              </w:rPr>
              <w:t xml:space="preserve">.1 Liaise with slaughter floor staff to ensure kill sheet is modified if stock </w:t>
            </w:r>
            <w:proofErr w:type="gramStart"/>
            <w:r w:rsidR="00A30DAF" w:rsidRPr="003A76F3">
              <w:rPr>
                <w:rFonts w:cs="Arial"/>
                <w:color w:val="000000" w:themeColor="text2"/>
                <w:sz w:val="22"/>
              </w:rPr>
              <w:t>are</w:t>
            </w:r>
            <w:proofErr w:type="gramEnd"/>
            <w:r w:rsidR="00A30DAF" w:rsidRPr="003A76F3">
              <w:rPr>
                <w:rFonts w:cs="Arial"/>
                <w:color w:val="000000" w:themeColor="text2"/>
                <w:sz w:val="22"/>
              </w:rPr>
              <w:t xml:space="preserve"> presented out of order, e.g. emergency kills</w:t>
            </w:r>
          </w:p>
          <w:p w14:paraId="55A9E457" w14:textId="02CA9B3A" w:rsidR="00A30DAF" w:rsidRPr="003A76F3" w:rsidRDefault="004D17D5" w:rsidP="003A76F3">
            <w:pPr>
              <w:pStyle w:val="SIText"/>
              <w:rPr>
                <w:rFonts w:cs="Arial"/>
                <w:color w:val="000000" w:themeColor="text2"/>
                <w:sz w:val="22"/>
              </w:rPr>
            </w:pPr>
            <w:r>
              <w:rPr>
                <w:rFonts w:cs="Arial"/>
                <w:color w:val="000000" w:themeColor="text2"/>
                <w:sz w:val="22"/>
              </w:rPr>
              <w:lastRenderedPageBreak/>
              <w:t>2</w:t>
            </w:r>
            <w:r w:rsidR="00A30DAF" w:rsidRPr="003A76F3">
              <w:rPr>
                <w:rFonts w:cs="Arial"/>
                <w:color w:val="000000" w:themeColor="text2"/>
                <w:sz w:val="22"/>
              </w:rPr>
              <w:t xml:space="preserve">.2 Modify kill sheet as and when livestock or on-floor issues alter the order or number of </w:t>
            </w:r>
            <w:proofErr w:type="gramStart"/>
            <w:r w:rsidR="00A30DAF" w:rsidRPr="003A76F3">
              <w:rPr>
                <w:rFonts w:cs="Arial"/>
                <w:color w:val="000000" w:themeColor="text2"/>
                <w:sz w:val="22"/>
              </w:rPr>
              <w:t>stock</w:t>
            </w:r>
            <w:proofErr w:type="gramEnd"/>
            <w:r w:rsidR="00A30DAF" w:rsidRPr="003A76F3">
              <w:rPr>
                <w:rFonts w:cs="Arial"/>
                <w:color w:val="000000" w:themeColor="text2"/>
                <w:sz w:val="22"/>
              </w:rPr>
              <w:t xml:space="preserve"> to be processed</w:t>
            </w:r>
          </w:p>
          <w:p w14:paraId="710105FB" w14:textId="6B70DE00" w:rsidR="003A76F3" w:rsidRPr="003A76F3" w:rsidRDefault="00A30DAF" w:rsidP="003A76F3">
            <w:pPr>
              <w:pStyle w:val="SIText"/>
              <w:rPr>
                <w:rFonts w:cs="Arial"/>
                <w:color w:val="000000" w:themeColor="text2"/>
                <w:sz w:val="22"/>
              </w:rPr>
            </w:pPr>
            <w:r w:rsidRPr="003A76F3">
              <w:rPr>
                <w:rFonts w:cs="Arial"/>
                <w:color w:val="000000" w:themeColor="text2"/>
                <w:sz w:val="22"/>
              </w:rPr>
              <w:t xml:space="preserve">3.3 Ensure relevant staff receive modified kill sheets in a timely manner according to </w:t>
            </w:r>
            <w:proofErr w:type="gramStart"/>
            <w:r w:rsidRPr="003A76F3">
              <w:rPr>
                <w:rFonts w:cs="Arial"/>
                <w:color w:val="000000" w:themeColor="text2"/>
                <w:sz w:val="22"/>
              </w:rPr>
              <w:t>work place</w:t>
            </w:r>
            <w:proofErr w:type="gramEnd"/>
            <w:r w:rsidRPr="003A76F3">
              <w:rPr>
                <w:rFonts w:cs="Arial"/>
                <w:color w:val="000000" w:themeColor="text2"/>
                <w:sz w:val="22"/>
              </w:rPr>
              <w:t xml:space="preserve"> requirements</w:t>
            </w:r>
          </w:p>
        </w:tc>
      </w:tr>
      <w:tr w:rsidR="00A30DAF" w:rsidRPr="003A76F3" w14:paraId="62F0CBB0" w14:textId="77777777" w:rsidTr="008A2237">
        <w:tc>
          <w:tcPr>
            <w:tcW w:w="3512" w:type="dxa"/>
          </w:tcPr>
          <w:p w14:paraId="4B7C4F19" w14:textId="1163B4A6" w:rsidR="00A30DAF" w:rsidRPr="003A76F3" w:rsidRDefault="004D17D5" w:rsidP="00A30DAF">
            <w:pPr>
              <w:pStyle w:val="SIText"/>
              <w:rPr>
                <w:rFonts w:cs="Arial"/>
                <w:color w:val="000000" w:themeColor="text2"/>
                <w:sz w:val="22"/>
              </w:rPr>
            </w:pPr>
            <w:r>
              <w:rPr>
                <w:rFonts w:cs="Arial"/>
                <w:color w:val="000000" w:themeColor="text2"/>
                <w:sz w:val="22"/>
              </w:rPr>
              <w:lastRenderedPageBreak/>
              <w:t>3</w:t>
            </w:r>
            <w:r w:rsidR="00A30DAF" w:rsidRPr="003A76F3">
              <w:rPr>
                <w:rFonts w:cs="Arial"/>
                <w:color w:val="000000" w:themeColor="text2"/>
                <w:sz w:val="22"/>
              </w:rPr>
              <w:t>. Identify NLIS requirements that apply to meat processors</w:t>
            </w:r>
          </w:p>
        </w:tc>
        <w:tc>
          <w:tcPr>
            <w:tcW w:w="5954" w:type="dxa"/>
          </w:tcPr>
          <w:p w14:paraId="2956280D" w14:textId="08254057" w:rsidR="00A30DAF" w:rsidRPr="003A76F3" w:rsidRDefault="004D17D5" w:rsidP="003A76F3">
            <w:pPr>
              <w:pStyle w:val="SIText"/>
              <w:rPr>
                <w:rFonts w:cs="Arial"/>
                <w:color w:val="000000" w:themeColor="text2"/>
                <w:sz w:val="22"/>
              </w:rPr>
            </w:pPr>
            <w:r>
              <w:rPr>
                <w:rFonts w:cs="Arial"/>
                <w:color w:val="000000" w:themeColor="text2"/>
                <w:sz w:val="22"/>
              </w:rPr>
              <w:t>2</w:t>
            </w:r>
            <w:r w:rsidR="00A30DAF" w:rsidRPr="003A76F3">
              <w:rPr>
                <w:rFonts w:cs="Arial"/>
                <w:color w:val="000000" w:themeColor="text2"/>
                <w:sz w:val="22"/>
              </w:rPr>
              <w:t>.1 Explain the company’s NLIS reporting requirements</w:t>
            </w:r>
          </w:p>
          <w:p w14:paraId="7AF34D7E" w14:textId="6327D4F5" w:rsidR="00A30DAF" w:rsidRPr="003A76F3" w:rsidRDefault="004D17D5" w:rsidP="003A76F3">
            <w:pPr>
              <w:pStyle w:val="SIText"/>
              <w:rPr>
                <w:rFonts w:cs="Arial"/>
                <w:color w:val="000000" w:themeColor="text2"/>
                <w:sz w:val="22"/>
              </w:rPr>
            </w:pPr>
            <w:r>
              <w:rPr>
                <w:rFonts w:cs="Arial"/>
                <w:color w:val="000000" w:themeColor="text2"/>
                <w:sz w:val="22"/>
              </w:rPr>
              <w:t>3</w:t>
            </w:r>
            <w:r w:rsidR="00A30DAF" w:rsidRPr="003A76F3">
              <w:rPr>
                <w:rFonts w:cs="Arial"/>
                <w:color w:val="000000" w:themeColor="text2"/>
                <w:sz w:val="22"/>
              </w:rPr>
              <w:t>.2 Ensure the kill sheet reconciliations are completed and enable an accurate upload of NLIS data</w:t>
            </w:r>
          </w:p>
        </w:tc>
      </w:tr>
    </w:tbl>
    <w:p w14:paraId="0965687E" w14:textId="77777777" w:rsidR="006A5CF9" w:rsidRPr="003A76F3" w:rsidRDefault="006A5CF9" w:rsidP="00695D51">
      <w:pPr>
        <w:pStyle w:val="BodyTextSI"/>
        <w:rPr>
          <w:rFonts w:ascii="Arial" w:hAnsi="Arial" w:cs="Arial"/>
        </w:rPr>
      </w:pPr>
    </w:p>
    <w:p w14:paraId="3D544D4D" w14:textId="630199AB" w:rsidR="00AC2E59" w:rsidRPr="003A76F3" w:rsidRDefault="006A5CF9" w:rsidP="003A76F3">
      <w:pPr>
        <w:pStyle w:val="Heading4"/>
        <w:rPr>
          <w:rFonts w:ascii="Arial" w:hAnsi="Arial" w:cs="Arial"/>
          <w:color w:val="0000FF"/>
        </w:rPr>
      </w:pPr>
      <w:r w:rsidRPr="003A76F3">
        <w:rPr>
          <w:rFonts w:ascii="Arial" w:hAnsi="Arial" w:cs="Arial"/>
          <w:color w:val="000000" w:themeColor="text2"/>
        </w:rPr>
        <w:t>F</w:t>
      </w:r>
      <w:r w:rsidR="00A83F69" w:rsidRPr="003A76F3">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3A76F3" w14:paraId="6E035243" w14:textId="77777777" w:rsidTr="00726491">
        <w:tc>
          <w:tcPr>
            <w:tcW w:w="1880" w:type="dxa"/>
          </w:tcPr>
          <w:p w14:paraId="1B1FC08B" w14:textId="10EC77E6" w:rsidR="00726491" w:rsidRPr="003A76F3" w:rsidRDefault="00726491" w:rsidP="00726491">
            <w:pPr>
              <w:pStyle w:val="BodyTextSI"/>
              <w:rPr>
                <w:rFonts w:ascii="Arial" w:hAnsi="Arial" w:cs="Arial"/>
                <w:b/>
                <w:bCs/>
                <w:color w:val="000000" w:themeColor="text2"/>
              </w:rPr>
            </w:pPr>
            <w:r w:rsidRPr="003A76F3">
              <w:rPr>
                <w:rFonts w:ascii="Arial" w:hAnsi="Arial" w:cs="Arial"/>
                <w:b/>
                <w:bCs/>
                <w:color w:val="000000" w:themeColor="text2"/>
              </w:rPr>
              <w:t>Learning</w:t>
            </w:r>
          </w:p>
        </w:tc>
        <w:tc>
          <w:tcPr>
            <w:tcW w:w="1880" w:type="dxa"/>
          </w:tcPr>
          <w:p w14:paraId="2C2A6618" w14:textId="4372DF00" w:rsidR="00726491" w:rsidRPr="003A76F3" w:rsidRDefault="00726491" w:rsidP="00726491">
            <w:pPr>
              <w:pStyle w:val="BodyTextSI"/>
              <w:rPr>
                <w:rFonts w:ascii="Arial" w:hAnsi="Arial" w:cs="Arial"/>
                <w:b/>
                <w:bCs/>
                <w:color w:val="000000" w:themeColor="text2"/>
              </w:rPr>
            </w:pPr>
            <w:r w:rsidRPr="003A76F3">
              <w:rPr>
                <w:rFonts w:ascii="Arial" w:hAnsi="Arial" w:cs="Arial"/>
                <w:b/>
                <w:bCs/>
                <w:color w:val="000000" w:themeColor="text2"/>
              </w:rPr>
              <w:t>Reading</w:t>
            </w:r>
          </w:p>
        </w:tc>
        <w:tc>
          <w:tcPr>
            <w:tcW w:w="1880" w:type="dxa"/>
          </w:tcPr>
          <w:p w14:paraId="719B7923" w14:textId="274AE6DF" w:rsidR="00726491" w:rsidRPr="003A76F3" w:rsidRDefault="00726491" w:rsidP="00726491">
            <w:pPr>
              <w:pStyle w:val="BodyTextSI"/>
              <w:rPr>
                <w:rFonts w:ascii="Arial" w:hAnsi="Arial" w:cs="Arial"/>
                <w:b/>
                <w:bCs/>
                <w:color w:val="000000" w:themeColor="text2"/>
              </w:rPr>
            </w:pPr>
            <w:r w:rsidRPr="003A76F3">
              <w:rPr>
                <w:rFonts w:ascii="Arial" w:hAnsi="Arial" w:cs="Arial"/>
                <w:b/>
                <w:bCs/>
                <w:color w:val="000000" w:themeColor="text2"/>
              </w:rPr>
              <w:t>Writing</w:t>
            </w:r>
          </w:p>
        </w:tc>
        <w:tc>
          <w:tcPr>
            <w:tcW w:w="1881" w:type="dxa"/>
          </w:tcPr>
          <w:p w14:paraId="74832C6C" w14:textId="62FDE15C" w:rsidR="00726491" w:rsidRPr="003A76F3" w:rsidRDefault="00726491" w:rsidP="00726491">
            <w:pPr>
              <w:pStyle w:val="BodyTextSI"/>
              <w:rPr>
                <w:rFonts w:ascii="Arial" w:hAnsi="Arial" w:cs="Arial"/>
                <w:b/>
                <w:bCs/>
                <w:color w:val="000000" w:themeColor="text2"/>
              </w:rPr>
            </w:pPr>
            <w:r w:rsidRPr="003A76F3">
              <w:rPr>
                <w:rFonts w:ascii="Arial" w:hAnsi="Arial" w:cs="Arial"/>
                <w:b/>
                <w:bCs/>
                <w:color w:val="000000" w:themeColor="text2"/>
              </w:rPr>
              <w:t>Oral communication</w:t>
            </w:r>
          </w:p>
        </w:tc>
        <w:tc>
          <w:tcPr>
            <w:tcW w:w="2255" w:type="dxa"/>
          </w:tcPr>
          <w:p w14:paraId="674C1D0C" w14:textId="3E45BCD6" w:rsidR="00726491" w:rsidRPr="003A76F3" w:rsidRDefault="00726491" w:rsidP="00726491">
            <w:pPr>
              <w:pStyle w:val="BodyTextSI"/>
              <w:rPr>
                <w:rFonts w:ascii="Arial" w:hAnsi="Arial" w:cs="Arial"/>
                <w:b/>
                <w:bCs/>
                <w:color w:val="000000" w:themeColor="text2"/>
              </w:rPr>
            </w:pPr>
            <w:r w:rsidRPr="003A76F3">
              <w:rPr>
                <w:rFonts w:ascii="Arial" w:hAnsi="Arial" w:cs="Arial"/>
                <w:b/>
                <w:bCs/>
                <w:color w:val="000000" w:themeColor="text2"/>
              </w:rPr>
              <w:t>Numeracy</w:t>
            </w:r>
          </w:p>
        </w:tc>
      </w:tr>
      <w:tr w:rsidR="00C602DE" w:rsidRPr="003A76F3" w14:paraId="392C0B40" w14:textId="77777777" w:rsidTr="00726491">
        <w:tc>
          <w:tcPr>
            <w:tcW w:w="1880" w:type="dxa"/>
          </w:tcPr>
          <w:p w14:paraId="1077CCAE" w14:textId="56790B95" w:rsidR="00726491" w:rsidRPr="003A76F3" w:rsidRDefault="004D17D5"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7CBE32A9" w:rsidR="00726491" w:rsidRPr="003A76F3" w:rsidRDefault="004D17D5"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27AA7967" w:rsidR="00726491" w:rsidRPr="003A76F3" w:rsidRDefault="004D17D5"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52002F92" w:rsidR="00726491" w:rsidRPr="003A76F3" w:rsidRDefault="004D17D5"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6C2DD4FE" w:rsidR="00726491" w:rsidRPr="003A76F3" w:rsidRDefault="004D17D5" w:rsidP="00726491">
            <w:pPr>
              <w:pStyle w:val="BodyTextSI"/>
              <w:rPr>
                <w:rFonts w:ascii="Arial" w:hAnsi="Arial" w:cs="Arial"/>
                <w:color w:val="000000" w:themeColor="text2"/>
              </w:rPr>
            </w:pPr>
            <w:r>
              <w:rPr>
                <w:rFonts w:ascii="Arial" w:hAnsi="Arial" w:cs="Arial"/>
                <w:color w:val="000000" w:themeColor="text2"/>
              </w:rPr>
              <w:t>2</w:t>
            </w:r>
          </w:p>
        </w:tc>
      </w:tr>
    </w:tbl>
    <w:p w14:paraId="13437BE6" w14:textId="77777777" w:rsidR="00D024B9" w:rsidRPr="003A76F3" w:rsidRDefault="00D024B9" w:rsidP="00D024B9">
      <w:pPr>
        <w:pStyle w:val="BodyTextSI"/>
        <w:rPr>
          <w:rFonts w:ascii="Arial" w:hAnsi="Arial" w:cs="Arial"/>
          <w:color w:val="000000" w:themeColor="text2"/>
        </w:rPr>
      </w:pPr>
    </w:p>
    <w:p w14:paraId="15005F50" w14:textId="261B07C9" w:rsidR="00FB2F6B" w:rsidRPr="003A76F3" w:rsidRDefault="00FB2F6B" w:rsidP="008329C5">
      <w:pPr>
        <w:pStyle w:val="Heading3"/>
        <w:rPr>
          <w:rFonts w:ascii="Arial" w:hAnsi="Arial" w:cs="Arial"/>
        </w:rPr>
      </w:pPr>
      <w:r w:rsidRPr="003A76F3">
        <w:rPr>
          <w:rFonts w:ascii="Arial" w:hAnsi="Arial" w:cs="Arial"/>
        </w:rPr>
        <w:t>Assessment Requirements</w:t>
      </w:r>
    </w:p>
    <w:p w14:paraId="6D8C9B22" w14:textId="7DAF89F3" w:rsidR="00FB2F6B" w:rsidRPr="003A76F3" w:rsidRDefault="00FB2F6B" w:rsidP="008329C5">
      <w:pPr>
        <w:pStyle w:val="Heading4"/>
        <w:rPr>
          <w:rFonts w:ascii="Arial" w:hAnsi="Arial" w:cs="Arial"/>
        </w:rPr>
      </w:pPr>
      <w:r w:rsidRPr="003A76F3">
        <w:rPr>
          <w:rFonts w:ascii="Arial" w:hAnsi="Arial" w:cs="Arial"/>
        </w:rPr>
        <w:t>Performance evidence</w:t>
      </w:r>
    </w:p>
    <w:p w14:paraId="648478B0" w14:textId="77777777" w:rsidR="003A76F3" w:rsidRPr="003A76F3" w:rsidRDefault="003A76F3" w:rsidP="003A76F3">
      <w:pPr>
        <w:pStyle w:val="SIText-Bold"/>
        <w:rPr>
          <w:rFonts w:cs="Arial"/>
          <w:b w:val="0"/>
          <w:color w:val="000000" w:themeColor="text2"/>
          <w:sz w:val="22"/>
        </w:rPr>
      </w:pPr>
      <w:r w:rsidRPr="003A76F3">
        <w:rPr>
          <w:rFonts w:cs="Arial"/>
          <w:b w:val="0"/>
          <w:color w:val="000000" w:themeColor="text2"/>
          <w:sz w:val="22"/>
        </w:rPr>
        <w:t xml:space="preserve">An individual demonstrating competency must satisfy </w:t>
      </w:r>
      <w:proofErr w:type="gramStart"/>
      <w:r w:rsidRPr="003A76F3">
        <w:rPr>
          <w:rFonts w:cs="Arial"/>
          <w:b w:val="0"/>
          <w:color w:val="000000" w:themeColor="text2"/>
          <w:sz w:val="22"/>
        </w:rPr>
        <w:t>all of</w:t>
      </w:r>
      <w:proofErr w:type="gramEnd"/>
      <w:r w:rsidRPr="003A76F3">
        <w:rPr>
          <w:rFonts w:cs="Arial"/>
          <w:b w:val="0"/>
          <w:color w:val="000000" w:themeColor="text2"/>
          <w:sz w:val="22"/>
        </w:rPr>
        <w:t xml:space="preserve"> the elements and performance criteria in this unit.</w:t>
      </w:r>
    </w:p>
    <w:p w14:paraId="0D570C4F" w14:textId="6CBD0400" w:rsidR="003A76F3" w:rsidRPr="003A76F3" w:rsidRDefault="003A76F3" w:rsidP="003A76F3">
      <w:pPr>
        <w:pStyle w:val="SIText-Bold"/>
        <w:rPr>
          <w:rFonts w:cs="Arial"/>
          <w:b w:val="0"/>
          <w:color w:val="auto"/>
          <w:sz w:val="22"/>
        </w:rPr>
      </w:pPr>
      <w:r w:rsidRPr="003A76F3">
        <w:rPr>
          <w:rFonts w:cs="Arial"/>
          <w:b w:val="0"/>
          <w:color w:val="auto"/>
          <w:sz w:val="22"/>
        </w:rPr>
        <w:t>There must be evidence that the individual has, for one full production shift:</w:t>
      </w:r>
    </w:p>
    <w:p w14:paraId="25458A9A" w14:textId="5B45D9B9" w:rsidR="00A30DAF" w:rsidRPr="003A76F3" w:rsidRDefault="00A30DAF" w:rsidP="003A76F3">
      <w:pPr>
        <w:pStyle w:val="SIText-Bold"/>
        <w:numPr>
          <w:ilvl w:val="0"/>
          <w:numId w:val="18"/>
        </w:numPr>
        <w:rPr>
          <w:rFonts w:cs="Arial"/>
          <w:b w:val="0"/>
          <w:bCs/>
          <w:color w:val="auto"/>
          <w:sz w:val="22"/>
        </w:rPr>
      </w:pPr>
      <w:r w:rsidRPr="003A76F3">
        <w:rPr>
          <w:rFonts w:cs="Arial"/>
          <w:b w:val="0"/>
          <w:bCs/>
          <w:color w:val="auto"/>
          <w:sz w:val="22"/>
        </w:rPr>
        <w:t>prepare</w:t>
      </w:r>
      <w:r w:rsidR="003A76F3" w:rsidRPr="003A76F3">
        <w:rPr>
          <w:rFonts w:cs="Arial"/>
          <w:b w:val="0"/>
          <w:bCs/>
          <w:color w:val="auto"/>
          <w:sz w:val="22"/>
        </w:rPr>
        <w:t>d</w:t>
      </w:r>
      <w:r w:rsidRPr="003A76F3">
        <w:rPr>
          <w:rFonts w:cs="Arial"/>
          <w:b w:val="0"/>
          <w:bCs/>
          <w:color w:val="auto"/>
          <w:sz w:val="22"/>
        </w:rPr>
        <w:t xml:space="preserve"> </w:t>
      </w:r>
      <w:r w:rsidR="003A76F3" w:rsidRPr="003A76F3">
        <w:rPr>
          <w:rFonts w:cs="Arial"/>
          <w:b w:val="0"/>
          <w:bCs/>
          <w:color w:val="auto"/>
          <w:sz w:val="22"/>
        </w:rPr>
        <w:t xml:space="preserve">a </w:t>
      </w:r>
      <w:r w:rsidRPr="003A76F3">
        <w:rPr>
          <w:rFonts w:cs="Arial"/>
          <w:b w:val="0"/>
          <w:bCs/>
          <w:color w:val="auto"/>
          <w:sz w:val="22"/>
        </w:rPr>
        <w:t>kill sheet for a slaughter floor</w:t>
      </w:r>
    </w:p>
    <w:p w14:paraId="6825D6F9" w14:textId="7701E224" w:rsidR="00A30DAF" w:rsidRPr="003A76F3" w:rsidRDefault="003A76F3" w:rsidP="00A30DAF">
      <w:pPr>
        <w:pStyle w:val="SIText-Bold"/>
        <w:numPr>
          <w:ilvl w:val="0"/>
          <w:numId w:val="15"/>
        </w:numPr>
        <w:rPr>
          <w:rFonts w:cs="Arial"/>
          <w:b w:val="0"/>
          <w:bCs/>
          <w:color w:val="auto"/>
          <w:sz w:val="22"/>
        </w:rPr>
      </w:pPr>
      <w:proofErr w:type="gramStart"/>
      <w:r w:rsidRPr="003A76F3">
        <w:rPr>
          <w:rFonts w:cs="Arial"/>
          <w:b w:val="0"/>
          <w:bCs/>
          <w:color w:val="auto"/>
          <w:sz w:val="22"/>
        </w:rPr>
        <w:t xml:space="preserve">made </w:t>
      </w:r>
      <w:r w:rsidR="00A30DAF" w:rsidRPr="003A76F3">
        <w:rPr>
          <w:rFonts w:cs="Arial"/>
          <w:b w:val="0"/>
          <w:bCs/>
          <w:color w:val="auto"/>
          <w:sz w:val="22"/>
        </w:rPr>
        <w:t>adjustments to</w:t>
      </w:r>
      <w:proofErr w:type="gramEnd"/>
      <w:r w:rsidR="00A30DAF" w:rsidRPr="003A76F3">
        <w:rPr>
          <w:rFonts w:cs="Arial"/>
          <w:b w:val="0"/>
          <w:bCs/>
          <w:color w:val="auto"/>
          <w:sz w:val="22"/>
        </w:rPr>
        <w:t xml:space="preserve"> the kill sheet throughout </w:t>
      </w:r>
      <w:r w:rsidRPr="003A76F3">
        <w:rPr>
          <w:rFonts w:cs="Arial"/>
          <w:b w:val="0"/>
          <w:bCs/>
          <w:color w:val="auto"/>
          <w:sz w:val="22"/>
        </w:rPr>
        <w:t>the shift</w:t>
      </w:r>
    </w:p>
    <w:p w14:paraId="4FF81DFC" w14:textId="2C62D6AD" w:rsidR="00A30DAF" w:rsidRPr="003A76F3" w:rsidRDefault="00A30DAF" w:rsidP="00A30DAF">
      <w:pPr>
        <w:pStyle w:val="SIText-Bold"/>
        <w:numPr>
          <w:ilvl w:val="0"/>
          <w:numId w:val="15"/>
        </w:numPr>
        <w:rPr>
          <w:rFonts w:cs="Arial"/>
          <w:b w:val="0"/>
          <w:bCs/>
          <w:color w:val="auto"/>
          <w:sz w:val="22"/>
        </w:rPr>
      </w:pPr>
      <w:r w:rsidRPr="003A76F3">
        <w:rPr>
          <w:rFonts w:cs="Arial"/>
          <w:b w:val="0"/>
          <w:bCs/>
          <w:color w:val="auto"/>
          <w:sz w:val="22"/>
        </w:rPr>
        <w:t>reconcile</w:t>
      </w:r>
      <w:r w:rsidR="003A76F3" w:rsidRPr="003A76F3">
        <w:rPr>
          <w:rFonts w:cs="Arial"/>
          <w:b w:val="0"/>
          <w:bCs/>
          <w:color w:val="auto"/>
          <w:sz w:val="22"/>
        </w:rPr>
        <w:t>d</w:t>
      </w:r>
      <w:r w:rsidRPr="003A76F3">
        <w:rPr>
          <w:rFonts w:cs="Arial"/>
          <w:b w:val="0"/>
          <w:bCs/>
          <w:color w:val="auto"/>
          <w:sz w:val="22"/>
        </w:rPr>
        <w:t xml:space="preserve"> </w:t>
      </w:r>
      <w:r w:rsidR="003A76F3" w:rsidRPr="003A76F3">
        <w:rPr>
          <w:rFonts w:cs="Arial"/>
          <w:b w:val="0"/>
          <w:bCs/>
          <w:color w:val="auto"/>
          <w:sz w:val="22"/>
        </w:rPr>
        <w:t xml:space="preserve">the </w:t>
      </w:r>
      <w:r w:rsidRPr="003A76F3">
        <w:rPr>
          <w:rFonts w:cs="Arial"/>
          <w:b w:val="0"/>
          <w:bCs/>
          <w:color w:val="auto"/>
          <w:sz w:val="22"/>
        </w:rPr>
        <w:t>kill sheet</w:t>
      </w:r>
      <w:r w:rsidR="003A76F3" w:rsidRPr="003A76F3">
        <w:rPr>
          <w:rFonts w:cs="Arial"/>
          <w:b w:val="0"/>
          <w:bCs/>
          <w:color w:val="auto"/>
          <w:sz w:val="22"/>
        </w:rPr>
        <w:t xml:space="preserve"> </w:t>
      </w:r>
      <w:r w:rsidRPr="003A76F3">
        <w:rPr>
          <w:rFonts w:cs="Arial"/>
          <w:b w:val="0"/>
          <w:bCs/>
          <w:color w:val="auto"/>
          <w:sz w:val="22"/>
        </w:rPr>
        <w:t>at the end of production</w:t>
      </w:r>
    </w:p>
    <w:p w14:paraId="306435D2" w14:textId="69E82498" w:rsidR="00C602DE" w:rsidRPr="003A76F3" w:rsidRDefault="00C602DE" w:rsidP="00C602DE">
      <w:pPr>
        <w:pStyle w:val="SIText-Bold"/>
        <w:rPr>
          <w:rFonts w:cs="Arial"/>
          <w:color w:val="000000" w:themeColor="text2"/>
          <w:sz w:val="22"/>
        </w:rPr>
      </w:pPr>
    </w:p>
    <w:p w14:paraId="1CACF4A4" w14:textId="7E1CC9CB" w:rsidR="002D4A5E" w:rsidRPr="003A76F3" w:rsidRDefault="002D4A5E" w:rsidP="008329C5">
      <w:pPr>
        <w:pStyle w:val="Heading4"/>
        <w:rPr>
          <w:rFonts w:ascii="Arial" w:hAnsi="Arial" w:cs="Arial"/>
        </w:rPr>
      </w:pPr>
      <w:r w:rsidRPr="003A76F3">
        <w:rPr>
          <w:rFonts w:ascii="Arial" w:hAnsi="Arial" w:cs="Arial"/>
        </w:rPr>
        <w:t>Knowledge evidence</w:t>
      </w:r>
    </w:p>
    <w:p w14:paraId="4B045F92" w14:textId="77777777" w:rsidR="003A76F3" w:rsidRPr="003A76F3" w:rsidRDefault="003A76F3" w:rsidP="003A76F3">
      <w:pPr>
        <w:spacing w:before="240"/>
        <w:rPr>
          <w:rFonts w:ascii="Arial" w:hAnsi="Arial" w:cs="Arial"/>
        </w:rPr>
      </w:pPr>
      <w:r w:rsidRPr="003A76F3">
        <w:rPr>
          <w:rFonts w:ascii="Arial" w:hAnsi="Arial" w:cs="Arial"/>
        </w:rPr>
        <w:t>An individual must be able to demonstrate the knowledge required to perform the tasks outlined in the elements and performance criteria of this unit. This includes knowledge of:</w:t>
      </w:r>
    </w:p>
    <w:p w14:paraId="642474DE" w14:textId="77777777" w:rsidR="00A30DAF" w:rsidRPr="003A76F3" w:rsidRDefault="00A30DAF" w:rsidP="003A76F3">
      <w:pPr>
        <w:pStyle w:val="DotpointsSI"/>
        <w:rPr>
          <w:rFonts w:ascii="Arial" w:hAnsi="Arial" w:cs="Arial"/>
        </w:rPr>
      </w:pPr>
      <w:r w:rsidRPr="003A76F3">
        <w:rPr>
          <w:rFonts w:ascii="Arial" w:hAnsi="Arial" w:cs="Arial"/>
        </w:rPr>
        <w:t>the NLIS system, including the origin and nature of the system, its commercial importance, role in food safety and reporting requirements, role in traceability</w:t>
      </w:r>
    </w:p>
    <w:p w14:paraId="65A45C8F" w14:textId="77777777" w:rsidR="00A30DAF" w:rsidRPr="003A76F3" w:rsidRDefault="00A30DAF" w:rsidP="003A76F3">
      <w:pPr>
        <w:pStyle w:val="DotpointsSI"/>
        <w:rPr>
          <w:rFonts w:ascii="Arial" w:hAnsi="Arial" w:cs="Arial"/>
        </w:rPr>
      </w:pPr>
      <w:r w:rsidRPr="003A76F3">
        <w:rPr>
          <w:rFonts w:ascii="Arial" w:hAnsi="Arial" w:cs="Arial"/>
        </w:rPr>
        <w:t>NLIS status, abbreviations and what they mean, and the required actions to be taken in response</w:t>
      </w:r>
    </w:p>
    <w:p w14:paraId="1F54F94B" w14:textId="03061EA4" w:rsidR="003A76F3" w:rsidRPr="003A76F3" w:rsidRDefault="003A76F3" w:rsidP="003A76F3">
      <w:pPr>
        <w:pStyle w:val="DotpointsSI"/>
        <w:rPr>
          <w:rFonts w:ascii="Arial" w:hAnsi="Arial" w:cs="Arial"/>
        </w:rPr>
      </w:pPr>
      <w:r w:rsidRPr="003A76F3">
        <w:rPr>
          <w:rFonts w:ascii="Arial" w:hAnsi="Arial" w:cs="Arial"/>
          <w:bCs/>
        </w:rPr>
        <w:t>the importance and application of the Property Identification Code (PIC) and NVD</w:t>
      </w:r>
    </w:p>
    <w:p w14:paraId="6D7FDA13" w14:textId="4A2275E7" w:rsidR="00A30DAF" w:rsidRPr="003A76F3" w:rsidRDefault="00A30DAF" w:rsidP="003A76F3">
      <w:pPr>
        <w:pStyle w:val="DotpointsSI"/>
        <w:rPr>
          <w:rFonts w:ascii="Arial" w:hAnsi="Arial" w:cs="Arial"/>
        </w:rPr>
      </w:pPr>
      <w:r w:rsidRPr="003A76F3">
        <w:rPr>
          <w:rFonts w:ascii="Arial" w:hAnsi="Arial" w:cs="Arial"/>
        </w:rPr>
        <w:t>regulatory requirements which impact on when stock must be presented for processing</w:t>
      </w:r>
    </w:p>
    <w:p w14:paraId="5CDDFBF8" w14:textId="77777777" w:rsidR="00A30DAF" w:rsidRPr="003A76F3" w:rsidRDefault="00A30DAF" w:rsidP="003A76F3">
      <w:pPr>
        <w:pStyle w:val="DotpointsSI"/>
        <w:rPr>
          <w:rFonts w:ascii="Arial" w:hAnsi="Arial" w:cs="Arial"/>
        </w:rPr>
      </w:pPr>
      <w:r w:rsidRPr="003A76F3">
        <w:rPr>
          <w:rFonts w:ascii="Arial" w:hAnsi="Arial" w:cs="Arial"/>
        </w:rPr>
        <w:t>workplace requirements that impact on the order in which categories of stock are presented</w:t>
      </w:r>
    </w:p>
    <w:p w14:paraId="4B1836AE" w14:textId="77777777" w:rsidR="00A30DAF" w:rsidRPr="003A76F3" w:rsidRDefault="00A30DAF" w:rsidP="003A76F3">
      <w:pPr>
        <w:pStyle w:val="DotpointsSI"/>
        <w:rPr>
          <w:rFonts w:ascii="Arial" w:hAnsi="Arial" w:cs="Arial"/>
        </w:rPr>
      </w:pPr>
      <w:r w:rsidRPr="003A76F3">
        <w:rPr>
          <w:rFonts w:ascii="Arial" w:hAnsi="Arial" w:cs="Arial"/>
        </w:rPr>
        <w:t>workplace arrangements for dealing with non-tagged animals</w:t>
      </w:r>
    </w:p>
    <w:p w14:paraId="7AF68607" w14:textId="77777777" w:rsidR="00A30DAF" w:rsidRPr="003A76F3" w:rsidRDefault="00A30DAF" w:rsidP="003A76F3">
      <w:pPr>
        <w:pStyle w:val="DotpointsSI"/>
        <w:rPr>
          <w:rFonts w:ascii="Arial" w:hAnsi="Arial" w:cs="Arial"/>
        </w:rPr>
      </w:pPr>
      <w:r w:rsidRPr="003A76F3">
        <w:rPr>
          <w:rFonts w:ascii="Arial" w:hAnsi="Arial" w:cs="Arial"/>
        </w:rPr>
        <w:t>kill sheet distribution requirements</w:t>
      </w:r>
    </w:p>
    <w:p w14:paraId="5E80AC0F" w14:textId="77777777" w:rsidR="00A30DAF" w:rsidRPr="003A76F3" w:rsidRDefault="00A30DAF" w:rsidP="003A76F3">
      <w:pPr>
        <w:pStyle w:val="DotpointsSI"/>
        <w:rPr>
          <w:rFonts w:ascii="Arial" w:hAnsi="Arial" w:cs="Arial"/>
        </w:rPr>
      </w:pPr>
      <w:r w:rsidRPr="003A76F3">
        <w:rPr>
          <w:rFonts w:ascii="Arial" w:hAnsi="Arial" w:cs="Arial"/>
        </w:rPr>
        <w:t>impact of kill sheet changes on lairage and production staff</w:t>
      </w:r>
    </w:p>
    <w:p w14:paraId="4B90464B" w14:textId="77777777" w:rsidR="002D4A5E" w:rsidRPr="003A76F3" w:rsidRDefault="002D4A5E" w:rsidP="002D4A5E">
      <w:pPr>
        <w:pStyle w:val="SIText"/>
        <w:rPr>
          <w:rFonts w:cs="Arial"/>
        </w:rPr>
      </w:pPr>
    </w:p>
    <w:p w14:paraId="05D1035D" w14:textId="77777777" w:rsidR="008329C5" w:rsidRPr="003A76F3" w:rsidRDefault="008329C5" w:rsidP="008329C5">
      <w:pPr>
        <w:pStyle w:val="Heading4"/>
        <w:rPr>
          <w:rFonts w:ascii="Arial" w:hAnsi="Arial" w:cs="Arial"/>
        </w:rPr>
      </w:pPr>
      <w:r w:rsidRPr="003A76F3">
        <w:rPr>
          <w:rFonts w:ascii="Arial" w:hAnsi="Arial" w:cs="Arial"/>
        </w:rPr>
        <w:t>Assessment conditions</w:t>
      </w:r>
    </w:p>
    <w:p w14:paraId="13E76271" w14:textId="77777777" w:rsidR="003A76F3" w:rsidRPr="003A76F3" w:rsidRDefault="003A76F3" w:rsidP="003A76F3">
      <w:pPr>
        <w:rPr>
          <w:rFonts w:ascii="Arial" w:hAnsi="Arial" w:cs="Arial"/>
        </w:rPr>
      </w:pPr>
      <w:r w:rsidRPr="003A76F3">
        <w:rPr>
          <w:rFonts w:ascii="Arial" w:hAnsi="Arial" w:cs="Arial"/>
        </w:rPr>
        <w:t>Assessors of this unit must satisfy the requirements for assessors in applicable vocational education and training legislation, frameworks and/or standards.</w:t>
      </w:r>
    </w:p>
    <w:p w14:paraId="2EB852B5" w14:textId="77777777" w:rsidR="003A76F3" w:rsidRPr="003A76F3" w:rsidRDefault="003A76F3" w:rsidP="003A76F3">
      <w:pPr>
        <w:rPr>
          <w:rFonts w:ascii="Arial" w:hAnsi="Arial" w:cs="Arial"/>
          <w:b/>
          <w:color w:val="000000" w:themeColor="text2"/>
        </w:rPr>
      </w:pPr>
      <w:r w:rsidRPr="003A76F3">
        <w:rPr>
          <w:rFonts w:ascii="Arial" w:hAnsi="Arial" w:cs="Arial"/>
          <w:b/>
          <w:color w:val="000000" w:themeColor="text2"/>
        </w:rPr>
        <w:t xml:space="preserve">Mandatory workplace requirements: </w:t>
      </w:r>
    </w:p>
    <w:p w14:paraId="7049B26F" w14:textId="77777777" w:rsidR="003A76F3" w:rsidRPr="003A76F3" w:rsidRDefault="003A76F3" w:rsidP="003A76F3">
      <w:pPr>
        <w:rPr>
          <w:rFonts w:ascii="Arial" w:hAnsi="Arial" w:cs="Arial"/>
        </w:rPr>
      </w:pPr>
      <w:r w:rsidRPr="003A76F3">
        <w:rPr>
          <w:rFonts w:ascii="Arial" w:hAnsi="Arial" w:cs="Arial"/>
        </w:rPr>
        <w:t xml:space="preserve">Mandatory workplace requirements apply to this unit of competency. </w:t>
      </w:r>
    </w:p>
    <w:p w14:paraId="564F2D81" w14:textId="2E8D5F76" w:rsidR="003A76F3" w:rsidRPr="003A76F3" w:rsidRDefault="003A76F3" w:rsidP="003A76F3">
      <w:pPr>
        <w:rPr>
          <w:rFonts w:ascii="Arial" w:hAnsi="Arial" w:cs="Arial"/>
        </w:rPr>
      </w:pPr>
      <w:r w:rsidRPr="003A76F3">
        <w:rPr>
          <w:rFonts w:ascii="Arial" w:hAnsi="Arial" w:cs="Arial"/>
        </w:rPr>
        <w:t xml:space="preserve">Performance must be demonstrated in a </w:t>
      </w:r>
      <w:r w:rsidRPr="003A76F3">
        <w:rPr>
          <w:rFonts w:ascii="Arial" w:hAnsi="Arial" w:cs="Arial"/>
          <w:color w:val="000000" w:themeColor="text2"/>
        </w:rPr>
        <w:t xml:space="preserve">registered slaughtering establishment </w:t>
      </w:r>
      <w:r w:rsidRPr="003A76F3">
        <w:rPr>
          <w:rFonts w:ascii="Arial" w:hAnsi="Arial" w:cs="Arial"/>
        </w:rPr>
        <w:t>under normal production conditions.</w:t>
      </w:r>
    </w:p>
    <w:p w14:paraId="36919E55" w14:textId="77777777" w:rsidR="003A76F3" w:rsidRPr="003A76F3" w:rsidRDefault="003A76F3" w:rsidP="003A76F3">
      <w:pPr>
        <w:rPr>
          <w:rFonts w:ascii="Arial" w:hAnsi="Arial" w:cs="Arial"/>
          <w:color w:val="000000" w:themeColor="text2"/>
        </w:rPr>
      </w:pPr>
      <w:r w:rsidRPr="003A76F3">
        <w:rPr>
          <w:rFonts w:ascii="Arial" w:hAnsi="Arial" w:cs="Arial"/>
          <w:color w:val="000000" w:themeColor="text2"/>
        </w:rPr>
        <w:t>Assessment must ensure access to:</w:t>
      </w:r>
    </w:p>
    <w:p w14:paraId="0B73EF02" w14:textId="41DAC667" w:rsidR="003A76F3" w:rsidRPr="003A76F3" w:rsidRDefault="003A76F3" w:rsidP="003A76F3">
      <w:pPr>
        <w:pStyle w:val="ListParagraph"/>
        <w:numPr>
          <w:ilvl w:val="0"/>
          <w:numId w:val="20"/>
        </w:numPr>
        <w:rPr>
          <w:rFonts w:ascii="Arial" w:hAnsi="Arial" w:cs="Arial"/>
          <w:color w:val="000000" w:themeColor="text2"/>
        </w:rPr>
      </w:pPr>
      <w:r>
        <w:rPr>
          <w:rFonts w:ascii="Arial" w:hAnsi="Arial" w:cs="Arial"/>
          <w:color w:val="000000" w:themeColor="text2"/>
        </w:rPr>
        <w:t>kill sheet forms and documentation</w:t>
      </w:r>
    </w:p>
    <w:p w14:paraId="2855C657" w14:textId="0B8D32EF" w:rsidR="003A76F3" w:rsidRDefault="003A76F3" w:rsidP="003A76F3">
      <w:pPr>
        <w:pStyle w:val="ListParagraph"/>
        <w:numPr>
          <w:ilvl w:val="0"/>
          <w:numId w:val="20"/>
        </w:numPr>
        <w:rPr>
          <w:rFonts w:ascii="Arial" w:hAnsi="Arial" w:cs="Arial"/>
          <w:color w:val="000000" w:themeColor="text2"/>
        </w:rPr>
      </w:pPr>
      <w:r>
        <w:rPr>
          <w:rFonts w:ascii="Arial" w:hAnsi="Arial" w:cs="Arial"/>
          <w:color w:val="000000" w:themeColor="text2"/>
        </w:rPr>
        <w:t xml:space="preserve">enterprise </w:t>
      </w:r>
      <w:r w:rsidRPr="003A76F3">
        <w:rPr>
          <w:rFonts w:ascii="Arial" w:hAnsi="Arial" w:cs="Arial"/>
          <w:color w:val="000000" w:themeColor="text2"/>
        </w:rPr>
        <w:t>NLIS reporting requirements</w:t>
      </w:r>
    </w:p>
    <w:p w14:paraId="79A4E82E" w14:textId="77777777" w:rsidR="003A76F3" w:rsidRPr="00167907" w:rsidRDefault="003A76F3" w:rsidP="003A76F3">
      <w:pPr>
        <w:pStyle w:val="ListParagraph"/>
        <w:numPr>
          <w:ilvl w:val="0"/>
          <w:numId w:val="20"/>
        </w:numPr>
        <w:rPr>
          <w:rFonts w:ascii="Arial" w:hAnsi="Arial" w:cs="Arial"/>
          <w:color w:val="000000" w:themeColor="text2"/>
        </w:rPr>
      </w:pPr>
      <w:r w:rsidRPr="00167907">
        <w:rPr>
          <w:rFonts w:ascii="Arial" w:hAnsi="Arial" w:cs="Arial"/>
          <w:color w:val="000000" w:themeColor="text2"/>
        </w:rPr>
        <w:t>PPE applicable to job requirements</w:t>
      </w:r>
    </w:p>
    <w:p w14:paraId="466C1F5A" w14:textId="77777777" w:rsidR="003A76F3" w:rsidRPr="00167907" w:rsidRDefault="003A76F3" w:rsidP="003A76F3">
      <w:pPr>
        <w:pStyle w:val="ListParagraph"/>
        <w:numPr>
          <w:ilvl w:val="0"/>
          <w:numId w:val="20"/>
        </w:numPr>
        <w:rPr>
          <w:rFonts w:ascii="Arial" w:hAnsi="Arial" w:cs="Arial"/>
          <w:color w:val="000000" w:themeColor="text2"/>
        </w:rPr>
      </w:pPr>
      <w:r w:rsidRPr="00167907">
        <w:rPr>
          <w:rFonts w:ascii="Arial" w:hAnsi="Arial" w:cs="Arial"/>
          <w:color w:val="000000" w:themeColor="text2"/>
        </w:rPr>
        <w:t>tools and equipment applicable to job requirements</w:t>
      </w:r>
    </w:p>
    <w:p w14:paraId="3CFB963D" w14:textId="368625B7" w:rsidR="003A76F3" w:rsidRPr="00167907" w:rsidRDefault="003A76F3" w:rsidP="003A76F3">
      <w:pPr>
        <w:pStyle w:val="ListParagraph"/>
        <w:numPr>
          <w:ilvl w:val="0"/>
          <w:numId w:val="22"/>
        </w:numPr>
        <w:rPr>
          <w:rFonts w:ascii="Arial" w:hAnsi="Arial" w:cs="Arial"/>
          <w:color w:val="000000" w:themeColor="text2"/>
        </w:rPr>
      </w:pPr>
      <w:r>
        <w:rPr>
          <w:rFonts w:ascii="Arial" w:hAnsi="Arial" w:cs="Arial"/>
          <w:color w:val="000000" w:themeColor="text2"/>
        </w:rPr>
        <w:t>organisational policies and procedures relevant to kill sheet preparation</w:t>
      </w:r>
    </w:p>
    <w:p w14:paraId="1ABF7422" w14:textId="77777777" w:rsidR="003A76F3" w:rsidRPr="00167907" w:rsidRDefault="003A76F3" w:rsidP="003A76F3">
      <w:pPr>
        <w:pStyle w:val="ListParagraph"/>
        <w:numPr>
          <w:ilvl w:val="0"/>
          <w:numId w:val="22"/>
        </w:numPr>
        <w:rPr>
          <w:rFonts w:ascii="Arial" w:hAnsi="Arial" w:cs="Arial"/>
          <w:color w:val="000000" w:themeColor="text2"/>
        </w:rPr>
      </w:pPr>
      <w:r w:rsidRPr="00167907">
        <w:rPr>
          <w:rFonts w:ascii="Arial" w:hAnsi="Arial" w:cs="Arial"/>
          <w:color w:val="000000" w:themeColor="text2"/>
        </w:rPr>
        <w:t>work orders</w:t>
      </w:r>
      <w:r>
        <w:rPr>
          <w:rFonts w:ascii="Arial" w:hAnsi="Arial" w:cs="Arial"/>
          <w:color w:val="000000" w:themeColor="text2"/>
        </w:rPr>
        <w:t xml:space="preserve"> or specifications used in the workplace </w:t>
      </w:r>
    </w:p>
    <w:p w14:paraId="1914EF45" w14:textId="2242F25A" w:rsidR="00695D51" w:rsidRPr="003A76F3" w:rsidRDefault="003A76F3" w:rsidP="002D4A5E">
      <w:pPr>
        <w:pStyle w:val="ListParagraph"/>
        <w:numPr>
          <w:ilvl w:val="0"/>
          <w:numId w:val="21"/>
        </w:numPr>
        <w:rPr>
          <w:rFonts w:ascii="Arial" w:hAnsi="Arial" w:cs="Arial"/>
          <w:color w:val="000000" w:themeColor="text2"/>
        </w:rPr>
      </w:pPr>
      <w:r>
        <w:rPr>
          <w:rFonts w:ascii="Arial" w:hAnsi="Arial" w:cs="Arial"/>
          <w:color w:val="000000" w:themeColor="text2"/>
        </w:rPr>
        <w:t xml:space="preserve">a workplace </w:t>
      </w:r>
      <w:r w:rsidRPr="00167907">
        <w:rPr>
          <w:rFonts w:ascii="Arial" w:hAnsi="Arial" w:cs="Arial"/>
          <w:color w:val="000000" w:themeColor="text2"/>
        </w:rPr>
        <w:t>supervisor.</w:t>
      </w:r>
    </w:p>
    <w:p w14:paraId="304F0D9E" w14:textId="77777777" w:rsidR="00350925" w:rsidRPr="003A76F3" w:rsidRDefault="00350925" w:rsidP="00695D51">
      <w:pPr>
        <w:pStyle w:val="BodyTextSI"/>
        <w:rPr>
          <w:rFonts w:ascii="Arial" w:hAnsi="Arial" w:cs="Arial"/>
        </w:rPr>
      </w:pPr>
    </w:p>
    <w:p w14:paraId="42C51508" w14:textId="4B35740B" w:rsidR="00B85A2F" w:rsidRPr="003A76F3" w:rsidRDefault="001A307E" w:rsidP="00526094">
      <w:pPr>
        <w:pStyle w:val="Heading4"/>
        <w:rPr>
          <w:rFonts w:ascii="Arial" w:hAnsi="Arial" w:cs="Arial"/>
          <w:color w:val="000000" w:themeColor="text2"/>
        </w:rPr>
      </w:pPr>
      <w:r w:rsidRPr="003A76F3">
        <w:rPr>
          <w:rFonts w:ascii="Arial" w:hAnsi="Arial" w:cs="Arial"/>
          <w:color w:val="000000" w:themeColor="text2"/>
        </w:rPr>
        <w:t>Unit m</w:t>
      </w:r>
      <w:r w:rsidR="00922C8D" w:rsidRPr="003A76F3">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28"/>
        <w:gridCol w:w="2395"/>
        <w:gridCol w:w="1500"/>
        <w:gridCol w:w="3489"/>
      </w:tblGrid>
      <w:tr w:rsidR="00E5158E" w:rsidRPr="003A76F3" w14:paraId="2B60ACCF" w14:textId="16D47C00" w:rsidTr="003A76F3">
        <w:trPr>
          <w:trHeight w:val="1073"/>
        </w:trPr>
        <w:tc>
          <w:tcPr>
            <w:tcW w:w="2197" w:type="dxa"/>
          </w:tcPr>
          <w:p w14:paraId="22ADD666" w14:textId="77777777" w:rsidR="00E5158E" w:rsidRPr="003A76F3" w:rsidRDefault="00E5158E" w:rsidP="00C04160">
            <w:pPr>
              <w:pStyle w:val="BodyTextSI"/>
              <w:rPr>
                <w:rFonts w:ascii="Arial" w:hAnsi="Arial" w:cs="Arial"/>
                <w:b/>
                <w:bCs/>
                <w:color w:val="000000" w:themeColor="text2"/>
              </w:rPr>
            </w:pPr>
            <w:r w:rsidRPr="003A76F3">
              <w:rPr>
                <w:rFonts w:ascii="Arial" w:hAnsi="Arial" w:cs="Arial"/>
                <w:b/>
                <w:bCs/>
                <w:color w:val="000000" w:themeColor="text2"/>
              </w:rPr>
              <w:t>Code and title current version</w:t>
            </w:r>
          </w:p>
        </w:tc>
        <w:tc>
          <w:tcPr>
            <w:tcW w:w="2405" w:type="dxa"/>
          </w:tcPr>
          <w:p w14:paraId="0206D43C" w14:textId="77777777" w:rsidR="00E5158E" w:rsidRPr="003A76F3" w:rsidRDefault="00E5158E" w:rsidP="00C04160">
            <w:pPr>
              <w:pStyle w:val="BodyTextSI"/>
              <w:rPr>
                <w:rFonts w:ascii="Arial" w:hAnsi="Arial" w:cs="Arial"/>
                <w:b/>
                <w:bCs/>
                <w:color w:val="000000" w:themeColor="text2"/>
              </w:rPr>
            </w:pPr>
            <w:r w:rsidRPr="003A76F3">
              <w:rPr>
                <w:rFonts w:ascii="Arial" w:hAnsi="Arial" w:cs="Arial"/>
                <w:b/>
                <w:bCs/>
                <w:color w:val="000000" w:themeColor="text2"/>
              </w:rPr>
              <w:t>Code and title previous version</w:t>
            </w:r>
          </w:p>
        </w:tc>
        <w:tc>
          <w:tcPr>
            <w:tcW w:w="1500" w:type="dxa"/>
          </w:tcPr>
          <w:p w14:paraId="2DF6A043" w14:textId="77562530" w:rsidR="00E5158E" w:rsidRPr="003A76F3" w:rsidRDefault="00E5158E" w:rsidP="00C04160">
            <w:pPr>
              <w:pStyle w:val="BodyTextSI"/>
              <w:rPr>
                <w:rFonts w:ascii="Arial" w:hAnsi="Arial" w:cs="Arial"/>
                <w:b/>
                <w:bCs/>
                <w:color w:val="000000" w:themeColor="text2"/>
              </w:rPr>
            </w:pPr>
            <w:r w:rsidRPr="003A76F3">
              <w:rPr>
                <w:rFonts w:ascii="Arial" w:hAnsi="Arial" w:cs="Arial"/>
                <w:b/>
                <w:bCs/>
                <w:color w:val="000000" w:themeColor="text2"/>
              </w:rPr>
              <w:t>Equivalence status</w:t>
            </w:r>
          </w:p>
        </w:tc>
        <w:tc>
          <w:tcPr>
            <w:tcW w:w="3579" w:type="dxa"/>
          </w:tcPr>
          <w:p w14:paraId="70A5D43A" w14:textId="00F808A3" w:rsidR="00E5158E" w:rsidRPr="003A76F3" w:rsidRDefault="00E5158E" w:rsidP="00C04160">
            <w:pPr>
              <w:pStyle w:val="BodyTextSI"/>
              <w:rPr>
                <w:rFonts w:ascii="Arial" w:hAnsi="Arial" w:cs="Arial"/>
                <w:b/>
                <w:bCs/>
                <w:color w:val="000000" w:themeColor="text2"/>
              </w:rPr>
            </w:pPr>
            <w:r w:rsidRPr="003A76F3">
              <w:rPr>
                <w:rFonts w:ascii="Arial" w:hAnsi="Arial" w:cs="Arial"/>
                <w:b/>
                <w:bCs/>
                <w:color w:val="000000" w:themeColor="text2"/>
              </w:rPr>
              <w:t>Comments</w:t>
            </w:r>
          </w:p>
        </w:tc>
      </w:tr>
      <w:tr w:rsidR="003A76F3" w:rsidRPr="0078760C" w14:paraId="3010ADC2" w14:textId="77777777" w:rsidTr="003A76F3">
        <w:trPr>
          <w:trHeight w:val="1052"/>
        </w:trPr>
        <w:tc>
          <w:tcPr>
            <w:tcW w:w="2197" w:type="dxa"/>
          </w:tcPr>
          <w:p w14:paraId="409EF6ED" w14:textId="7A847E85" w:rsidR="003A76F3" w:rsidRPr="0078760C" w:rsidRDefault="00F23E68" w:rsidP="0078760C">
            <w:pPr>
              <w:pStyle w:val="BodyTextSI"/>
              <w:rPr>
                <w:color w:val="auto"/>
              </w:rPr>
            </w:pPr>
            <w:r w:rsidRPr="00F23E68">
              <w:rPr>
                <w:rFonts w:ascii="Arial" w:hAnsi="Arial" w:cs="Arial"/>
                <w:color w:val="auto"/>
              </w:rPr>
              <w:t>AMPOPR3X01</w:t>
            </w:r>
            <w:r w:rsidR="003A76F3" w:rsidRPr="0078760C">
              <w:rPr>
                <w:rFonts w:ascii="Arial" w:hAnsi="Arial" w:cs="Arial"/>
                <w:color w:val="auto"/>
              </w:rPr>
              <w:t> Prepare a</w:t>
            </w:r>
            <w:r w:rsidR="007E0936">
              <w:rPr>
                <w:rFonts w:ascii="Arial" w:hAnsi="Arial" w:cs="Arial"/>
                <w:color w:val="auto"/>
              </w:rPr>
              <w:t>nd monitor a</w:t>
            </w:r>
            <w:r w:rsidR="003A76F3" w:rsidRPr="0078760C">
              <w:rPr>
                <w:rFonts w:ascii="Arial" w:hAnsi="Arial" w:cs="Arial"/>
                <w:color w:val="auto"/>
              </w:rPr>
              <w:t xml:space="preserve"> kill sheet</w:t>
            </w:r>
          </w:p>
        </w:tc>
        <w:tc>
          <w:tcPr>
            <w:tcW w:w="2405" w:type="dxa"/>
          </w:tcPr>
          <w:p w14:paraId="2D73B86B" w14:textId="4D1EC224" w:rsidR="003A76F3" w:rsidRPr="0078760C" w:rsidRDefault="003A76F3" w:rsidP="003A76F3">
            <w:pPr>
              <w:pStyle w:val="BodyTextSI"/>
              <w:rPr>
                <w:color w:val="auto"/>
              </w:rPr>
            </w:pPr>
            <w:r w:rsidRPr="0078760C">
              <w:rPr>
                <w:rFonts w:ascii="Arial" w:hAnsi="Arial" w:cs="Arial"/>
                <w:color w:val="auto"/>
              </w:rPr>
              <w:t>AMPA3113 Prepare a kill sheet</w:t>
            </w:r>
          </w:p>
        </w:tc>
        <w:tc>
          <w:tcPr>
            <w:tcW w:w="1500" w:type="dxa"/>
          </w:tcPr>
          <w:p w14:paraId="4B769DF0" w14:textId="28F82DAC" w:rsidR="003A76F3" w:rsidRPr="0078760C" w:rsidRDefault="003A76F3" w:rsidP="003A76F3">
            <w:pPr>
              <w:pStyle w:val="BodyTextSI"/>
              <w:rPr>
                <w:rFonts w:ascii="Arial" w:hAnsi="Arial" w:cs="Arial"/>
                <w:color w:val="auto"/>
              </w:rPr>
            </w:pPr>
            <w:r w:rsidRPr="0078760C">
              <w:rPr>
                <w:rFonts w:ascii="Arial" w:hAnsi="Arial" w:cs="Arial"/>
                <w:color w:val="auto"/>
              </w:rPr>
              <w:t>Equivalent</w:t>
            </w:r>
          </w:p>
        </w:tc>
        <w:tc>
          <w:tcPr>
            <w:tcW w:w="3579" w:type="dxa"/>
          </w:tcPr>
          <w:p w14:paraId="2095DB74" w14:textId="404A13B5" w:rsidR="003A76F3" w:rsidRPr="0078760C" w:rsidRDefault="003A76F3" w:rsidP="003A76F3">
            <w:pPr>
              <w:pStyle w:val="BodyTextSI"/>
              <w:rPr>
                <w:rFonts w:ascii="Arial" w:hAnsi="Arial" w:cs="Arial"/>
                <w:color w:val="auto"/>
              </w:rPr>
            </w:pPr>
            <w:r w:rsidRPr="0078760C">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78760C" w:rsidRDefault="00B85A2F" w:rsidP="00D024B9">
      <w:pPr>
        <w:pStyle w:val="BodyTextSI"/>
        <w:rPr>
          <w:rFonts w:ascii="Arial" w:hAnsi="Arial" w:cs="Arial"/>
          <w:color w:val="auto"/>
        </w:rPr>
      </w:pPr>
    </w:p>
    <w:p w14:paraId="0A565D33" w14:textId="4452A7CA" w:rsidR="00B85A2F" w:rsidRPr="003A76F3" w:rsidRDefault="00B85A2F" w:rsidP="00B85A2F">
      <w:pPr>
        <w:pStyle w:val="Heading3"/>
        <w:rPr>
          <w:rFonts w:ascii="Arial" w:hAnsi="Arial" w:cs="Arial"/>
          <w:color w:val="000000" w:themeColor="text2"/>
        </w:rPr>
      </w:pPr>
      <w:r w:rsidRPr="003A76F3">
        <w:rPr>
          <w:rFonts w:ascii="Arial" w:hAnsi="Arial" w:cs="Arial"/>
          <w:color w:val="000000" w:themeColor="text2"/>
        </w:rPr>
        <w:t>Overview information</w:t>
      </w:r>
    </w:p>
    <w:p w14:paraId="6360339A" w14:textId="77777777" w:rsidR="00B85A2F" w:rsidRPr="003A76F3" w:rsidRDefault="00B85A2F" w:rsidP="00B85A2F">
      <w:pPr>
        <w:pStyle w:val="Heading4"/>
        <w:rPr>
          <w:rFonts w:ascii="Arial" w:hAnsi="Arial" w:cs="Arial"/>
          <w:color w:val="000000" w:themeColor="text2"/>
        </w:rPr>
      </w:pPr>
      <w:r w:rsidRPr="003A76F3">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3A76F3" w14:paraId="2860BE6D" w14:textId="77777777" w:rsidTr="00C32357">
        <w:tc>
          <w:tcPr>
            <w:tcW w:w="2972" w:type="dxa"/>
          </w:tcPr>
          <w:p w14:paraId="7CA8953A" w14:textId="77777777" w:rsidR="00B85A2F" w:rsidRPr="003A76F3" w:rsidRDefault="00B85A2F" w:rsidP="00547C62">
            <w:pPr>
              <w:pStyle w:val="BodyTextSI"/>
              <w:rPr>
                <w:rFonts w:ascii="Arial" w:hAnsi="Arial" w:cs="Arial"/>
                <w:b/>
                <w:bCs/>
                <w:color w:val="000000" w:themeColor="text2"/>
              </w:rPr>
            </w:pPr>
            <w:r w:rsidRPr="003A76F3">
              <w:rPr>
                <w:rFonts w:ascii="Arial" w:hAnsi="Arial" w:cs="Arial"/>
                <w:b/>
                <w:bCs/>
                <w:color w:val="000000" w:themeColor="text2"/>
              </w:rPr>
              <w:t>Release</w:t>
            </w:r>
          </w:p>
        </w:tc>
        <w:tc>
          <w:tcPr>
            <w:tcW w:w="6430" w:type="dxa"/>
          </w:tcPr>
          <w:p w14:paraId="6A71BCB1" w14:textId="77777777" w:rsidR="00B85A2F" w:rsidRPr="003A76F3" w:rsidRDefault="00B85A2F" w:rsidP="00547C62">
            <w:pPr>
              <w:pStyle w:val="BodyTextSI"/>
              <w:rPr>
                <w:rFonts w:ascii="Arial" w:hAnsi="Arial" w:cs="Arial"/>
                <w:b/>
                <w:bCs/>
                <w:color w:val="000000" w:themeColor="text2"/>
              </w:rPr>
            </w:pPr>
            <w:r w:rsidRPr="003A76F3">
              <w:rPr>
                <w:rFonts w:ascii="Arial" w:hAnsi="Arial" w:cs="Arial"/>
                <w:b/>
                <w:bCs/>
                <w:color w:val="000000" w:themeColor="text2"/>
              </w:rPr>
              <w:t>Comments</w:t>
            </w:r>
          </w:p>
        </w:tc>
      </w:tr>
      <w:tr w:rsidR="000F3886" w:rsidRPr="0078760C" w14:paraId="5CF529C7" w14:textId="77777777" w:rsidTr="00C32357">
        <w:tc>
          <w:tcPr>
            <w:tcW w:w="2972" w:type="dxa"/>
          </w:tcPr>
          <w:p w14:paraId="22761332" w14:textId="457B2B9A" w:rsidR="00B85A2F" w:rsidRPr="0078760C" w:rsidRDefault="00AC2E59" w:rsidP="00547C62">
            <w:pPr>
              <w:pStyle w:val="BodyTextSI"/>
              <w:rPr>
                <w:rFonts w:ascii="Arial" w:hAnsi="Arial" w:cs="Arial"/>
                <w:color w:val="auto"/>
              </w:rPr>
            </w:pPr>
            <w:r w:rsidRPr="0078760C">
              <w:rPr>
                <w:rFonts w:ascii="Arial" w:hAnsi="Arial" w:cs="Arial"/>
                <w:color w:val="auto"/>
              </w:rPr>
              <w:t>Release 1</w:t>
            </w:r>
          </w:p>
        </w:tc>
        <w:tc>
          <w:tcPr>
            <w:tcW w:w="6430" w:type="dxa"/>
          </w:tcPr>
          <w:p w14:paraId="26CB3677" w14:textId="39E10ECB" w:rsidR="00B85A2F" w:rsidRPr="0078760C" w:rsidRDefault="00AC2E59" w:rsidP="00547C62">
            <w:pPr>
              <w:pStyle w:val="BodyTextSI"/>
              <w:rPr>
                <w:rFonts w:ascii="Arial" w:hAnsi="Arial" w:cs="Arial"/>
                <w:color w:val="auto"/>
              </w:rPr>
            </w:pPr>
            <w:r w:rsidRPr="0078760C">
              <w:rPr>
                <w:rFonts w:ascii="Arial" w:hAnsi="Arial" w:cs="Arial"/>
                <w:color w:val="auto"/>
              </w:rPr>
              <w:t xml:space="preserve">This unit of competency was first released in AMP Australian Meat Processing Training Package Release </w:t>
            </w:r>
            <w:r w:rsidR="003A76F3" w:rsidRPr="0078760C">
              <w:rPr>
                <w:rFonts w:ascii="Arial" w:hAnsi="Arial" w:cs="Arial"/>
                <w:color w:val="auto"/>
              </w:rPr>
              <w:t>10</w:t>
            </w:r>
            <w:r w:rsidRPr="0078760C">
              <w:rPr>
                <w:rFonts w:ascii="Arial" w:hAnsi="Arial" w:cs="Arial"/>
                <w:color w:val="auto"/>
              </w:rPr>
              <w:t>.0.</w:t>
            </w:r>
          </w:p>
        </w:tc>
      </w:tr>
    </w:tbl>
    <w:p w14:paraId="3C715895" w14:textId="50F7232E" w:rsidR="00B85A2F" w:rsidRPr="003A76F3" w:rsidRDefault="00B85A2F" w:rsidP="0078760C">
      <w:pPr>
        <w:pStyle w:val="BodyTextSI"/>
        <w:rPr>
          <w:rFonts w:ascii="Arial" w:hAnsi="Arial" w:cs="Arial"/>
          <w:color w:val="000000" w:themeColor="text2"/>
        </w:rPr>
      </w:pPr>
    </w:p>
    <w:sectPr w:rsidR="00B85A2F" w:rsidRPr="003A76F3"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6A35" w14:textId="77777777" w:rsidR="00F73A70" w:rsidRDefault="00F73A70" w:rsidP="005072F6">
      <w:r>
        <w:separator/>
      </w:r>
    </w:p>
  </w:endnote>
  <w:endnote w:type="continuationSeparator" w:id="0">
    <w:p w14:paraId="7B6B0A2F" w14:textId="77777777" w:rsidR="00F73A70" w:rsidRDefault="00F73A70"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199B0" w14:textId="77777777" w:rsidR="00F73A70" w:rsidRDefault="00F73A70" w:rsidP="005072F6">
      <w:r>
        <w:separator/>
      </w:r>
    </w:p>
  </w:footnote>
  <w:footnote w:type="continuationSeparator" w:id="0">
    <w:p w14:paraId="5838D934" w14:textId="77777777" w:rsidR="00F73A70" w:rsidRDefault="00F73A70"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1AB7838E" w:rsidR="00225717" w:rsidRPr="003A76F3" w:rsidRDefault="00F73A70">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23E68" w:rsidRPr="00F23E68">
      <w:rPr>
        <w:rFonts w:ascii="Arial" w:hAnsi="Arial" w:cs="Arial"/>
        <w:b/>
        <w:bCs/>
      </w:rPr>
      <w:t>AMPOPR3X01</w:t>
    </w:r>
    <w:r w:rsidR="00A30DAF" w:rsidRPr="00813A92">
      <w:rPr>
        <w:rFonts w:ascii="Arial" w:hAnsi="Arial" w:cs="Arial"/>
        <w:b/>
        <w:bCs/>
      </w:rPr>
      <w:t xml:space="preserve"> Prepare</w:t>
    </w:r>
    <w:r w:rsidR="00A30DAF" w:rsidRPr="003A76F3">
      <w:rPr>
        <w:rFonts w:ascii="Arial" w:hAnsi="Arial" w:cs="Arial"/>
        <w:b/>
        <w:bCs/>
      </w:rPr>
      <w:t xml:space="preserve"> a</w:t>
    </w:r>
    <w:r w:rsidR="007E0936">
      <w:rPr>
        <w:rFonts w:ascii="Arial" w:hAnsi="Arial" w:cs="Arial"/>
        <w:b/>
        <w:bCs/>
      </w:rPr>
      <w:t>nd monitor a</w:t>
    </w:r>
    <w:r w:rsidR="00A30DAF" w:rsidRPr="003A76F3">
      <w:rPr>
        <w:rFonts w:ascii="Arial" w:hAnsi="Arial" w:cs="Arial"/>
        <w:b/>
        <w:bCs/>
      </w:rPr>
      <w:t xml:space="preserve"> kill sheet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1FF"/>
    <w:multiLevelType w:val="multilevel"/>
    <w:tmpl w:val="977A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D1A37"/>
    <w:multiLevelType w:val="multilevel"/>
    <w:tmpl w:val="E00A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C2FCF"/>
    <w:multiLevelType w:val="multilevel"/>
    <w:tmpl w:val="BC8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8450D"/>
    <w:multiLevelType w:val="multilevel"/>
    <w:tmpl w:val="953CC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0C518D"/>
    <w:multiLevelType w:val="multilevel"/>
    <w:tmpl w:val="B956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34C11"/>
    <w:multiLevelType w:val="multilevel"/>
    <w:tmpl w:val="C60AFC6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CAB39B6"/>
    <w:multiLevelType w:val="hybridMultilevel"/>
    <w:tmpl w:val="BD805B76"/>
    <w:lvl w:ilvl="0" w:tplc="8B72FA80">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9832CB"/>
    <w:multiLevelType w:val="multilevel"/>
    <w:tmpl w:val="9984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13"/>
  </w:num>
  <w:num w:numId="2" w16cid:durableId="215511303">
    <w:abstractNumId w:val="21"/>
  </w:num>
  <w:num w:numId="3" w16cid:durableId="1887522741">
    <w:abstractNumId w:val="20"/>
  </w:num>
  <w:num w:numId="4" w16cid:durableId="1771582199">
    <w:abstractNumId w:val="11"/>
  </w:num>
  <w:num w:numId="5" w16cid:durableId="1554998444">
    <w:abstractNumId w:val="17"/>
  </w:num>
  <w:num w:numId="6" w16cid:durableId="1068066149">
    <w:abstractNumId w:val="2"/>
  </w:num>
  <w:num w:numId="7" w16cid:durableId="864095754">
    <w:abstractNumId w:val="9"/>
  </w:num>
  <w:num w:numId="8" w16cid:durableId="120540142">
    <w:abstractNumId w:val="10"/>
  </w:num>
  <w:num w:numId="9" w16cid:durableId="321274567">
    <w:abstractNumId w:val="19"/>
  </w:num>
  <w:num w:numId="10" w16cid:durableId="400180159">
    <w:abstractNumId w:val="14"/>
  </w:num>
  <w:num w:numId="11" w16cid:durableId="1772823301">
    <w:abstractNumId w:val="3"/>
  </w:num>
  <w:num w:numId="12" w16cid:durableId="1224173610">
    <w:abstractNumId w:val="7"/>
  </w:num>
  <w:num w:numId="13" w16cid:durableId="1361662263">
    <w:abstractNumId w:val="4"/>
  </w:num>
  <w:num w:numId="14" w16cid:durableId="438838311">
    <w:abstractNumId w:val="5"/>
  </w:num>
  <w:num w:numId="15" w16cid:durableId="959796214">
    <w:abstractNumId w:val="18"/>
  </w:num>
  <w:num w:numId="16" w16cid:durableId="1306467266">
    <w:abstractNumId w:val="0"/>
  </w:num>
  <w:num w:numId="17" w16cid:durableId="849678907">
    <w:abstractNumId w:val="1"/>
  </w:num>
  <w:num w:numId="18" w16cid:durableId="817066450">
    <w:abstractNumId w:val="16"/>
  </w:num>
  <w:num w:numId="19" w16cid:durableId="571352710">
    <w:abstractNumId w:val="8"/>
  </w:num>
  <w:num w:numId="20" w16cid:durableId="1348558814">
    <w:abstractNumId w:val="12"/>
  </w:num>
  <w:num w:numId="21" w16cid:durableId="140654473">
    <w:abstractNumId w:val="15"/>
  </w:num>
  <w:num w:numId="22" w16cid:durableId="43136443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227E"/>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A76F3"/>
    <w:rsid w:val="003B4F5D"/>
    <w:rsid w:val="003B6AAC"/>
    <w:rsid w:val="003C12C8"/>
    <w:rsid w:val="003C48A0"/>
    <w:rsid w:val="003C75CC"/>
    <w:rsid w:val="003D0116"/>
    <w:rsid w:val="003D1133"/>
    <w:rsid w:val="003D2B92"/>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449"/>
    <w:rsid w:val="004A66E7"/>
    <w:rsid w:val="004A7722"/>
    <w:rsid w:val="004A79DF"/>
    <w:rsid w:val="004B0020"/>
    <w:rsid w:val="004B1C42"/>
    <w:rsid w:val="004B1F0B"/>
    <w:rsid w:val="004C4060"/>
    <w:rsid w:val="004C7821"/>
    <w:rsid w:val="004D17D5"/>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47AD"/>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525A9"/>
    <w:rsid w:val="0076022C"/>
    <w:rsid w:val="00761428"/>
    <w:rsid w:val="00770132"/>
    <w:rsid w:val="0078056B"/>
    <w:rsid w:val="00781343"/>
    <w:rsid w:val="00785333"/>
    <w:rsid w:val="0078760C"/>
    <w:rsid w:val="007903AF"/>
    <w:rsid w:val="007940CE"/>
    <w:rsid w:val="007A12DF"/>
    <w:rsid w:val="007A513D"/>
    <w:rsid w:val="007A72C1"/>
    <w:rsid w:val="007B135E"/>
    <w:rsid w:val="007C1161"/>
    <w:rsid w:val="007C13D1"/>
    <w:rsid w:val="007D5905"/>
    <w:rsid w:val="007E0936"/>
    <w:rsid w:val="007E206A"/>
    <w:rsid w:val="007E40E9"/>
    <w:rsid w:val="007E775F"/>
    <w:rsid w:val="007F4EDD"/>
    <w:rsid w:val="0080771E"/>
    <w:rsid w:val="00807F39"/>
    <w:rsid w:val="00813A92"/>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4B94"/>
    <w:rsid w:val="009D5303"/>
    <w:rsid w:val="009E28DC"/>
    <w:rsid w:val="009E501A"/>
    <w:rsid w:val="009E61F9"/>
    <w:rsid w:val="009F285F"/>
    <w:rsid w:val="009F4193"/>
    <w:rsid w:val="00A102BA"/>
    <w:rsid w:val="00A12E3F"/>
    <w:rsid w:val="00A1547A"/>
    <w:rsid w:val="00A25DC4"/>
    <w:rsid w:val="00A27593"/>
    <w:rsid w:val="00A30909"/>
    <w:rsid w:val="00A30DAF"/>
    <w:rsid w:val="00A342BD"/>
    <w:rsid w:val="00A35319"/>
    <w:rsid w:val="00A35EBB"/>
    <w:rsid w:val="00A36090"/>
    <w:rsid w:val="00A36E4C"/>
    <w:rsid w:val="00A43F81"/>
    <w:rsid w:val="00A449A6"/>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87C"/>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23E68"/>
    <w:rsid w:val="00F37800"/>
    <w:rsid w:val="00F423DD"/>
    <w:rsid w:val="00F43DEC"/>
    <w:rsid w:val="00F44751"/>
    <w:rsid w:val="00F55A42"/>
    <w:rsid w:val="00F63DAF"/>
    <w:rsid w:val="00F664F2"/>
    <w:rsid w:val="00F7147E"/>
    <w:rsid w:val="00F73A70"/>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2C0194BD-AEEB-4046-9306-D9364BDF7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78</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22</cp:revision>
  <dcterms:created xsi:type="dcterms:W3CDTF">2026-07-21T23:02:00Z</dcterms:created>
  <dcterms:modified xsi:type="dcterms:W3CDTF">2026-08-24T00:49:00Z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